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A152" w14:textId="77777777" w:rsidR="004A6E23" w:rsidRPr="00936F6D" w:rsidRDefault="004A6E23" w:rsidP="00936F6D">
      <w:pPr>
        <w:jc w:val="center"/>
        <w:rPr>
          <w:color w:val="335375" w:themeColor="accent3" w:themeShade="BF"/>
          <w:sz w:val="28"/>
          <w:u w:val="single"/>
        </w:rPr>
      </w:pPr>
      <w:r w:rsidRPr="00936F6D">
        <w:rPr>
          <w:b/>
          <w:bCs/>
          <w:color w:val="335375" w:themeColor="accent3" w:themeShade="BF"/>
          <w:sz w:val="28"/>
          <w:u w:val="single"/>
        </w:rPr>
        <w:t>CR-05 Goals and Outcomes</w:t>
      </w:r>
    </w:p>
    <w:p w14:paraId="1A49B7B6" w14:textId="77777777" w:rsidR="00172F88" w:rsidRPr="0043366D" w:rsidRDefault="004A6E23" w:rsidP="0043366D">
      <w:pPr>
        <w:rPr>
          <w:i/>
          <w:color w:val="87A9CB" w:themeColor="accent3" w:themeTint="99"/>
        </w:rPr>
      </w:pPr>
      <w:r w:rsidRPr="00936F6D">
        <w:rPr>
          <w:i/>
          <w:color w:val="87A9CB" w:themeColor="accent3" w:themeTint="99"/>
        </w:rPr>
        <w:t>Regulation Citation(s): 24 CFR 91.520(a)</w:t>
      </w:r>
    </w:p>
    <w:p w14:paraId="19198155" w14:textId="77777777" w:rsidR="00AC1311" w:rsidRPr="00A62C57" w:rsidRDefault="00AC1311" w:rsidP="00AC1311">
      <w:pPr>
        <w:keepNext/>
        <w:widowControl w:val="0"/>
        <w:spacing w:after="0" w:line="240" w:lineRule="auto"/>
        <w:rPr>
          <w:sz w:val="28"/>
          <w:szCs w:val="28"/>
          <w:u w:val="single"/>
        </w:rPr>
      </w:pPr>
      <w:r w:rsidRPr="00A62C57">
        <w:rPr>
          <w:i/>
          <w:szCs w:val="24"/>
          <w:u w:val="single"/>
        </w:rPr>
        <w:t>Progress the jurisdiction has made in carrying out its strategic plan and its action plan</w:t>
      </w:r>
      <w:r w:rsidRPr="00A62C57">
        <w:rPr>
          <w:szCs w:val="24"/>
          <w:u w:val="single"/>
        </w:rPr>
        <w:t xml:space="preserve">.  </w:t>
      </w:r>
      <w:hyperlink r:id="rId8" w:history="1">
        <w:r w:rsidR="00A62C57" w:rsidRPr="00A62C57">
          <w:rPr>
            <w:rStyle w:val="Hyperlink"/>
            <w:color w:val="0000FF"/>
            <w:szCs w:val="24"/>
          </w:rPr>
          <w:t xml:space="preserve">24 CFR </w:t>
        </w:r>
        <w:r w:rsidRPr="00A62C57">
          <w:rPr>
            <w:rStyle w:val="Hyperlink"/>
            <w:color w:val="0000FF"/>
            <w:szCs w:val="24"/>
          </w:rPr>
          <w:t>91.520(a)</w:t>
        </w:r>
      </w:hyperlink>
      <w:r w:rsidR="0031344F" w:rsidRPr="00A62C57">
        <w:rPr>
          <w:color w:val="0000FF"/>
          <w:sz w:val="28"/>
          <w:szCs w:val="28"/>
          <w:u w:val="single"/>
        </w:rPr>
        <w:t xml:space="preserve"> </w:t>
      </w:r>
    </w:p>
    <w:p w14:paraId="028366E9" w14:textId="77777777" w:rsidR="00AC1311" w:rsidRPr="004D2AA5" w:rsidRDefault="00AC1311" w:rsidP="00C0352B">
      <w:pPr>
        <w:widowControl w:val="0"/>
        <w:spacing w:before="100" w:beforeAutospacing="1" w:after="100" w:afterAutospacing="1"/>
        <w:rPr>
          <w:szCs w:val="24"/>
        </w:rPr>
      </w:pPr>
      <w:r w:rsidRPr="004D2AA5">
        <w:t xml:space="preserve">This report discusses </w:t>
      </w:r>
      <w:r w:rsidR="00A62C57">
        <w:t xml:space="preserve">the </w:t>
      </w:r>
      <w:r w:rsidR="00B4326D">
        <w:t xml:space="preserve">State of </w:t>
      </w:r>
      <w:r w:rsidR="00A62C57">
        <w:t xml:space="preserve">California </w:t>
      </w:r>
      <w:r w:rsidR="00B4326D">
        <w:t xml:space="preserve">(State) </w:t>
      </w:r>
      <w:r w:rsidRPr="004D2AA5">
        <w:t>outcomes for</w:t>
      </w:r>
      <w:r w:rsidR="007B4668" w:rsidRPr="004D2AA5">
        <w:t xml:space="preserve"> </w:t>
      </w:r>
      <w:r w:rsidR="008C51C2" w:rsidRPr="004D2AA5">
        <w:t>Fiscal Year</w:t>
      </w:r>
      <w:r w:rsidR="00A62C57">
        <w:t xml:space="preserve"> </w:t>
      </w:r>
      <w:r w:rsidR="007B4668" w:rsidRPr="004D2AA5">
        <w:t>2016-2017 (hereafter referred to FY 2016-17</w:t>
      </w:r>
      <w:r w:rsidR="0031344F" w:rsidRPr="004D2AA5">
        <w:t>)</w:t>
      </w:r>
      <w:r w:rsidR="0012420C">
        <w:t xml:space="preserve"> </w:t>
      </w:r>
      <w:r w:rsidR="00B4326D">
        <w:t xml:space="preserve">for the following programs: </w:t>
      </w:r>
      <w:r w:rsidRPr="004D2AA5">
        <w:t>Community Development Block Grant (CDBG), HOME Investment Partnerships Program (HOME), Emergency Solutions Grants Program (ESG),</w:t>
      </w:r>
      <w:r w:rsidR="007B4668" w:rsidRPr="004D2AA5">
        <w:t xml:space="preserve"> National Housing Trust Fund (NHTF)</w:t>
      </w:r>
      <w:r w:rsidR="00E17F11">
        <w:t>,</w:t>
      </w:r>
      <w:r w:rsidRPr="004D2AA5">
        <w:t xml:space="preserve"> Housing Opportunities for Persons with AIDS (HOPWA)</w:t>
      </w:r>
      <w:r w:rsidR="00B4326D">
        <w:t>,</w:t>
      </w:r>
      <w:r w:rsidRPr="004D2AA5">
        <w:t xml:space="preserve"> and Lead-Hazard Control Program (LHCP). </w:t>
      </w:r>
      <w:r w:rsidR="007B4668" w:rsidRPr="004D2AA5">
        <w:t xml:space="preserve"> </w:t>
      </w:r>
      <w:r w:rsidRPr="004D2AA5">
        <w:t xml:space="preserve">The </w:t>
      </w:r>
      <w:r w:rsidR="00B4326D">
        <w:t>State</w:t>
      </w:r>
      <w:r w:rsidR="00B4326D" w:rsidRPr="004D2AA5">
        <w:t xml:space="preserve"> </w:t>
      </w:r>
      <w:r w:rsidRPr="004D2AA5">
        <w:t xml:space="preserve">continues to make progress </w:t>
      </w:r>
      <w:r w:rsidR="00BE7890">
        <w:t xml:space="preserve">by utilizing </w:t>
      </w:r>
      <w:r w:rsidRPr="004D2AA5">
        <w:t>funds</w:t>
      </w:r>
      <w:r w:rsidR="00BE7890">
        <w:t xml:space="preserve"> for these programs to</w:t>
      </w:r>
      <w:r w:rsidRPr="004D2AA5">
        <w:t xml:space="preserve"> increas</w:t>
      </w:r>
      <w:r w:rsidR="00BE7890">
        <w:t>e</w:t>
      </w:r>
      <w:r w:rsidRPr="004D2AA5">
        <w:t xml:space="preserve"> the supply of affordable permanent housing, improv</w:t>
      </w:r>
      <w:r w:rsidR="00BE7890">
        <w:t>e</w:t>
      </w:r>
      <w:r w:rsidRPr="004D2AA5">
        <w:t xml:space="preserve"> public infrastructure, and increas</w:t>
      </w:r>
      <w:r w:rsidR="00BE7890">
        <w:t>e</w:t>
      </w:r>
      <w:r w:rsidRPr="004D2AA5">
        <w:t xml:space="preserve"> public services, public facilities, Rapid-Rehousing </w:t>
      </w:r>
      <w:r w:rsidR="008C51C2" w:rsidRPr="004D2AA5">
        <w:t>(RR)</w:t>
      </w:r>
      <w:r w:rsidR="000101BD">
        <w:t>,</w:t>
      </w:r>
      <w:r w:rsidR="008C51C2" w:rsidRPr="004D2AA5">
        <w:t xml:space="preserve"> </w:t>
      </w:r>
      <w:r w:rsidRPr="004D2AA5">
        <w:t>and crisis response services</w:t>
      </w:r>
      <w:r w:rsidR="000101BD">
        <w:t>.</w:t>
      </w:r>
      <w:r w:rsidR="00592B04" w:rsidRPr="004D2AA5">
        <w:t xml:space="preserve"> </w:t>
      </w:r>
      <w:r w:rsidRPr="004D2AA5">
        <w:t xml:space="preserve"> </w:t>
      </w:r>
      <w:r w:rsidR="00A466B5">
        <w:t>T</w:t>
      </w:r>
      <w:r w:rsidRPr="004D2AA5">
        <w:t xml:space="preserve">he State </w:t>
      </w:r>
      <w:r w:rsidR="00A466B5">
        <w:t xml:space="preserve">also </w:t>
      </w:r>
      <w:r w:rsidR="000101BD">
        <w:t xml:space="preserve">continues to </w:t>
      </w:r>
      <w:r w:rsidRPr="004D2AA5">
        <w:t xml:space="preserve">work toward </w:t>
      </w:r>
      <w:r w:rsidR="008C51C2" w:rsidRPr="004D2AA5">
        <w:t xml:space="preserve">fulfilling its </w:t>
      </w:r>
      <w:r w:rsidR="00A62C57">
        <w:t xml:space="preserve">fair housing </w:t>
      </w:r>
      <w:r w:rsidR="008C51C2" w:rsidRPr="004D2AA5">
        <w:t xml:space="preserve">goals </w:t>
      </w:r>
      <w:r w:rsidR="000101BD">
        <w:t xml:space="preserve">identified </w:t>
      </w:r>
      <w:r w:rsidR="008C51C2" w:rsidRPr="004D2AA5">
        <w:t xml:space="preserve">in the 2012 Analysis of Impediments (AI) and </w:t>
      </w:r>
      <w:r w:rsidRPr="004D2AA5">
        <w:t>Affirmatively Furthering Fair Housing (AFFH) in the administration of program funds.</w:t>
      </w:r>
    </w:p>
    <w:p w14:paraId="060FA1A2" w14:textId="77777777" w:rsidR="00AC1311" w:rsidRPr="004D2AA5" w:rsidRDefault="00AC1311" w:rsidP="00172F88">
      <w:pPr>
        <w:widowControl w:val="0"/>
        <w:spacing w:before="100" w:beforeAutospacing="1" w:after="100" w:afterAutospacing="1"/>
        <w:rPr>
          <w:szCs w:val="24"/>
        </w:rPr>
      </w:pPr>
      <w:r w:rsidRPr="004D2AA5">
        <w:t xml:space="preserve">In addition to the data provided below, this </w:t>
      </w:r>
      <w:bookmarkStart w:id="0" w:name="_Hlk492637762"/>
      <w:r w:rsidR="008C51C2" w:rsidRPr="004D2AA5">
        <w:rPr>
          <w:rFonts w:cs="Arial"/>
          <w:bCs/>
          <w:szCs w:val="24"/>
        </w:rPr>
        <w:t xml:space="preserve">Consolidated Annual Performance and Evaluation Report </w:t>
      </w:r>
      <w:bookmarkEnd w:id="0"/>
      <w:r w:rsidR="008C51C2" w:rsidRPr="004D2AA5">
        <w:rPr>
          <w:rFonts w:cs="Arial"/>
          <w:bCs/>
          <w:szCs w:val="24"/>
        </w:rPr>
        <w:t>(</w:t>
      </w:r>
      <w:r w:rsidRPr="004D2AA5">
        <w:t>CAPER</w:t>
      </w:r>
      <w:r w:rsidR="008C51C2" w:rsidRPr="004D2AA5">
        <w:t>)</w:t>
      </w:r>
      <w:r w:rsidRPr="004D2AA5">
        <w:t xml:space="preserve"> discusses affordable housing outcomes, homelessness and special needs activities, and other </w:t>
      </w:r>
      <w:r w:rsidR="00A466B5">
        <w:t>California Department of Housing and Community Development (</w:t>
      </w:r>
      <w:r w:rsidR="00A62C57">
        <w:t>Department</w:t>
      </w:r>
      <w:r w:rsidR="00A466B5">
        <w:t>)</w:t>
      </w:r>
      <w:r w:rsidRPr="004D2AA5">
        <w:t xml:space="preserve"> actions in furtherance of the </w:t>
      </w:r>
      <w:r w:rsidR="00A466B5">
        <w:t xml:space="preserve">goals and objectives listed in the Department’s </w:t>
      </w:r>
      <w:r w:rsidRPr="004D2AA5">
        <w:t xml:space="preserve"> </w:t>
      </w:r>
      <w:r w:rsidR="00A466B5">
        <w:t xml:space="preserve">FY 2016-17 </w:t>
      </w:r>
      <w:r w:rsidRPr="004D2AA5">
        <w:t>Annual</w:t>
      </w:r>
      <w:r w:rsidR="00A62C57">
        <w:t xml:space="preserve"> Action</w:t>
      </w:r>
      <w:r w:rsidRPr="004D2AA5">
        <w:t xml:space="preserve"> Plan </w:t>
      </w:r>
      <w:r w:rsidR="008C51C2" w:rsidRPr="004D2AA5">
        <w:t>(AP)</w:t>
      </w:r>
      <w:r w:rsidRPr="004D2AA5">
        <w:t xml:space="preserve">. </w:t>
      </w:r>
    </w:p>
    <w:p w14:paraId="20B8850B" w14:textId="77777777" w:rsidR="00AC1311" w:rsidRPr="00A62C57" w:rsidRDefault="00AC1311" w:rsidP="00AC1311">
      <w:pPr>
        <w:keepNext/>
        <w:widowControl w:val="0"/>
        <w:spacing w:after="0" w:line="240" w:lineRule="auto"/>
        <w:rPr>
          <w:color w:val="002060"/>
          <w:szCs w:val="24"/>
        </w:rPr>
      </w:pPr>
      <w:r w:rsidRPr="00A62C57">
        <w:rPr>
          <w:i/>
          <w:szCs w:val="24"/>
          <w:u w:val="single"/>
        </w:rPr>
        <w:t>Comparison of the proposed versus actual outcomes for each outcome measure submitted with the consolidated plan and explain, if applicable, why progress was not made toward meeting goals and objectives</w:t>
      </w:r>
      <w:r w:rsidRPr="00A62C57">
        <w:rPr>
          <w:szCs w:val="24"/>
          <w:u w:val="single"/>
        </w:rPr>
        <w:t xml:space="preserve">.  </w:t>
      </w:r>
      <w:hyperlink r:id="rId9" w:history="1">
        <w:r w:rsidR="00A62C57" w:rsidRPr="00A62C57">
          <w:rPr>
            <w:rStyle w:val="Hyperlink"/>
            <w:color w:val="0000FF"/>
            <w:szCs w:val="24"/>
          </w:rPr>
          <w:t xml:space="preserve">24 CFR </w:t>
        </w:r>
        <w:r w:rsidRPr="00A62C57">
          <w:rPr>
            <w:rStyle w:val="Hyperlink"/>
            <w:color w:val="0000FF"/>
            <w:szCs w:val="24"/>
          </w:rPr>
          <w:t>91.520(g)</w:t>
        </w:r>
      </w:hyperlink>
    </w:p>
    <w:p w14:paraId="61D4C283" w14:textId="77777777" w:rsidR="00592B04" w:rsidRPr="004D2AA5" w:rsidRDefault="00592B04" w:rsidP="00AC1311">
      <w:pPr>
        <w:keepNext/>
        <w:widowControl w:val="0"/>
        <w:spacing w:after="0" w:line="240" w:lineRule="auto"/>
        <w:rPr>
          <w:b/>
          <w:szCs w:val="24"/>
        </w:rPr>
      </w:pPr>
    </w:p>
    <w:p w14:paraId="3A371024" w14:textId="4267C9A2" w:rsidR="00A62C57" w:rsidRDefault="001809E7" w:rsidP="00AC1311">
      <w:pPr>
        <w:keepNext/>
        <w:widowControl w:val="0"/>
        <w:spacing w:after="0" w:line="240" w:lineRule="auto"/>
      </w:pPr>
      <w:r>
        <w:t>T</w:t>
      </w:r>
      <w:r w:rsidR="00CB5162">
        <w:t>he funding c</w:t>
      </w:r>
      <w:r w:rsidR="00AC1311" w:rsidRPr="004D2AA5">
        <w:t xml:space="preserve">ategories, priority levels, funding sources and amounts, outcomes/objectives, goal outcome indicators, units of measure, targets, actual outcomes/outputs, and percentage completed </w:t>
      </w:r>
      <w:r w:rsidR="00CB24D0">
        <w:t xml:space="preserve">by </w:t>
      </w:r>
      <w:r w:rsidR="005C78DF">
        <w:t>each program</w:t>
      </w:r>
      <w:r w:rsidR="00CB5162">
        <w:t xml:space="preserve"> </w:t>
      </w:r>
      <w:r w:rsidR="00E17F11">
        <w:t xml:space="preserve">for the </w:t>
      </w:r>
      <w:r w:rsidR="00CB5162">
        <w:t xml:space="preserve">fiscal year is reflected in the table below.  </w:t>
      </w:r>
    </w:p>
    <w:p w14:paraId="6D73107D" w14:textId="77777777" w:rsidR="00CB5162" w:rsidRPr="004D2AA5" w:rsidRDefault="00CB5162" w:rsidP="00AC1311">
      <w:pPr>
        <w:keepNext/>
        <w:widowControl w:val="0"/>
        <w:spacing w:after="0" w:line="240" w:lineRule="auto"/>
      </w:pPr>
    </w:p>
    <w:p w14:paraId="0E379274" w14:textId="77777777" w:rsidR="002213F1" w:rsidRDefault="002213F1" w:rsidP="00895F06">
      <w:pPr>
        <w:widowControl w:val="0"/>
        <w:spacing w:after="100" w:afterAutospacing="1"/>
        <w:rPr>
          <w:b/>
          <w:i/>
        </w:rPr>
      </w:pPr>
    </w:p>
    <w:p w14:paraId="72248677" w14:textId="77777777" w:rsidR="002213F1" w:rsidRDefault="002213F1" w:rsidP="00895F06">
      <w:pPr>
        <w:widowControl w:val="0"/>
        <w:spacing w:after="100" w:afterAutospacing="1"/>
        <w:rPr>
          <w:b/>
          <w:i/>
        </w:rPr>
      </w:pPr>
    </w:p>
    <w:p w14:paraId="2C481905" w14:textId="77777777" w:rsidR="002213F1" w:rsidRDefault="002213F1" w:rsidP="00895F06">
      <w:pPr>
        <w:widowControl w:val="0"/>
        <w:spacing w:after="100" w:afterAutospacing="1"/>
        <w:rPr>
          <w:b/>
          <w:i/>
        </w:rPr>
      </w:pPr>
    </w:p>
    <w:p w14:paraId="6EEF97C5" w14:textId="77777777" w:rsidR="002213F1" w:rsidRDefault="002213F1" w:rsidP="00895F06">
      <w:pPr>
        <w:widowControl w:val="0"/>
        <w:spacing w:after="100" w:afterAutospacing="1"/>
        <w:rPr>
          <w:b/>
          <w:i/>
        </w:rPr>
      </w:pPr>
    </w:p>
    <w:p w14:paraId="1FD62D78" w14:textId="77777777" w:rsidR="002213F1" w:rsidRDefault="002213F1" w:rsidP="00895F06">
      <w:pPr>
        <w:widowControl w:val="0"/>
        <w:spacing w:after="100" w:afterAutospacing="1"/>
        <w:rPr>
          <w:b/>
          <w:i/>
        </w:rPr>
      </w:pPr>
    </w:p>
    <w:p w14:paraId="724C7C53" w14:textId="56818C9A" w:rsidR="004A6E23" w:rsidRPr="00895F06" w:rsidRDefault="002213F1" w:rsidP="0089054F">
      <w:pPr>
        <w:widowControl w:val="0"/>
        <w:spacing w:after="100" w:afterAutospacing="1"/>
        <w:jc w:val="center"/>
        <w:rPr>
          <w:i/>
        </w:rPr>
      </w:pPr>
      <w:bookmarkStart w:id="1" w:name="_Hlk492644992"/>
      <w:r>
        <w:rPr>
          <w:b/>
          <w:i/>
        </w:rPr>
        <w:lastRenderedPageBreak/>
        <w:t>P</w:t>
      </w:r>
      <w:r w:rsidR="004B2A96" w:rsidRPr="004B2A96">
        <w:rPr>
          <w:b/>
          <w:i/>
        </w:rPr>
        <w:t>lease note</w:t>
      </w:r>
      <w:r w:rsidR="004B2A96" w:rsidRPr="004B2A96">
        <w:rPr>
          <w:i/>
        </w:rPr>
        <w:t xml:space="preserve">:  </w:t>
      </w:r>
      <w:r w:rsidR="0089054F">
        <w:rPr>
          <w:i/>
          <w:color w:val="FF0000"/>
        </w:rPr>
        <w:t>The data in this</w:t>
      </w:r>
      <w:r w:rsidR="004B2A96" w:rsidRPr="00E17F11">
        <w:rPr>
          <w:i/>
          <w:color w:val="FF0000"/>
        </w:rPr>
        <w:t xml:space="preserve"> section </w:t>
      </w:r>
      <w:r w:rsidR="0089054F">
        <w:rPr>
          <w:i/>
          <w:color w:val="FF0000"/>
        </w:rPr>
        <w:t>may change as</w:t>
      </w:r>
      <w:r w:rsidR="00E17F11" w:rsidRPr="00E17F11">
        <w:rPr>
          <w:i/>
          <w:color w:val="FF0000"/>
        </w:rPr>
        <w:t xml:space="preserve"> relevant data </w:t>
      </w:r>
      <w:r w:rsidR="0089054F">
        <w:rPr>
          <w:i/>
          <w:color w:val="FF0000"/>
        </w:rPr>
        <w:t>becomes</w:t>
      </w:r>
      <w:r w:rsidR="00E17F11" w:rsidRPr="00E17F11">
        <w:rPr>
          <w:i/>
          <w:color w:val="FF0000"/>
        </w:rPr>
        <w:t xml:space="preserve"> available</w:t>
      </w:r>
      <w:r w:rsidR="004B2A96" w:rsidRPr="004B2A96">
        <w:rPr>
          <w:i/>
        </w:rPr>
        <w:t>.</w:t>
      </w:r>
    </w:p>
    <w:tbl>
      <w:tblPr>
        <w:tblStyle w:val="GridTable4-Accent3"/>
        <w:tblW w:w="14551" w:type="dxa"/>
        <w:jc w:val="center"/>
        <w:tblLayout w:type="fixed"/>
        <w:tblLook w:val="04A0" w:firstRow="1" w:lastRow="0" w:firstColumn="1" w:lastColumn="0" w:noHBand="0" w:noVBand="1"/>
      </w:tblPr>
      <w:tblGrid>
        <w:gridCol w:w="1705"/>
        <w:gridCol w:w="1620"/>
        <w:gridCol w:w="1350"/>
        <w:gridCol w:w="1530"/>
        <w:gridCol w:w="1350"/>
        <w:gridCol w:w="1166"/>
        <w:gridCol w:w="1166"/>
        <w:gridCol w:w="1166"/>
        <w:gridCol w:w="1166"/>
        <w:gridCol w:w="1166"/>
        <w:gridCol w:w="1166"/>
      </w:tblGrid>
      <w:tr w:rsidR="00EA070F" w:rsidRPr="004A6E23" w14:paraId="4C49AC8F" w14:textId="77777777" w:rsidTr="00EA070F">
        <w:trPr>
          <w:cnfStyle w:val="100000000000" w:firstRow="1" w:lastRow="0" w:firstColumn="0" w:lastColumn="0" w:oddVBand="0" w:evenVBand="0" w:oddHBand="0"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705" w:type="dxa"/>
            <w:vAlign w:val="center"/>
          </w:tcPr>
          <w:bookmarkEnd w:id="1"/>
          <w:p w14:paraId="7B4A7229" w14:textId="77777777" w:rsidR="004A6E23" w:rsidRPr="005251FF" w:rsidRDefault="004A6E23" w:rsidP="00FE6E8C">
            <w:pPr>
              <w:keepNext/>
              <w:widowControl w:val="0"/>
              <w:jc w:val="center"/>
              <w:rPr>
                <w:rFonts w:eastAsia="Calibri" w:cs="Arial"/>
                <w:sz w:val="22"/>
              </w:rPr>
            </w:pPr>
            <w:r w:rsidRPr="005251FF">
              <w:rPr>
                <w:rFonts w:eastAsia="Calibri" w:cs="Arial"/>
                <w:sz w:val="22"/>
              </w:rPr>
              <w:t>Goal</w:t>
            </w:r>
          </w:p>
        </w:tc>
        <w:tc>
          <w:tcPr>
            <w:tcW w:w="1620" w:type="dxa"/>
            <w:vAlign w:val="center"/>
          </w:tcPr>
          <w:p w14:paraId="720A9264" w14:textId="77777777" w:rsidR="004A6E23" w:rsidRPr="005251FF" w:rsidRDefault="004A6E23" w:rsidP="00FE6E8C">
            <w:pPr>
              <w:keepNext/>
              <w:widowControl w:val="0"/>
              <w:jc w:val="center"/>
              <w:cnfStyle w:val="100000000000" w:firstRow="1" w:lastRow="0" w:firstColumn="0" w:lastColumn="0" w:oddVBand="0" w:evenVBand="0" w:oddHBand="0" w:evenHBand="0" w:firstRowFirstColumn="0" w:firstRowLastColumn="0" w:lastRowFirstColumn="0" w:lastRowLastColumn="0"/>
              <w:rPr>
                <w:rFonts w:eastAsia="Calibri" w:cs="Arial"/>
                <w:sz w:val="22"/>
              </w:rPr>
            </w:pPr>
            <w:r w:rsidRPr="005251FF">
              <w:rPr>
                <w:rFonts w:eastAsia="Calibri" w:cs="Arial"/>
                <w:sz w:val="22"/>
              </w:rPr>
              <w:t>Category</w:t>
            </w:r>
          </w:p>
        </w:tc>
        <w:tc>
          <w:tcPr>
            <w:tcW w:w="1350" w:type="dxa"/>
            <w:vAlign w:val="center"/>
          </w:tcPr>
          <w:p w14:paraId="1A9EFE24" w14:textId="77777777" w:rsidR="004A6E23" w:rsidRPr="005251FF" w:rsidRDefault="004A6E23" w:rsidP="00FE6E8C">
            <w:pPr>
              <w:keepNext/>
              <w:widowControl w:val="0"/>
              <w:jc w:val="center"/>
              <w:cnfStyle w:val="100000000000" w:firstRow="1" w:lastRow="0" w:firstColumn="0" w:lastColumn="0" w:oddVBand="0" w:evenVBand="0" w:oddHBand="0" w:evenHBand="0" w:firstRowFirstColumn="0" w:firstRowLastColumn="0" w:lastRowFirstColumn="0" w:lastRowLastColumn="0"/>
              <w:rPr>
                <w:rFonts w:eastAsia="Calibri" w:cs="Arial"/>
                <w:sz w:val="22"/>
              </w:rPr>
            </w:pPr>
            <w:r w:rsidRPr="005251FF">
              <w:rPr>
                <w:rFonts w:eastAsia="Calibri" w:cs="Arial"/>
                <w:sz w:val="22"/>
              </w:rPr>
              <w:t>Source / Amount</w:t>
            </w:r>
          </w:p>
        </w:tc>
        <w:tc>
          <w:tcPr>
            <w:tcW w:w="1530" w:type="dxa"/>
            <w:vAlign w:val="center"/>
          </w:tcPr>
          <w:p w14:paraId="60886FA3" w14:textId="77777777" w:rsidR="004A6E23" w:rsidRPr="005251FF" w:rsidRDefault="004A6E23" w:rsidP="00FE6E8C">
            <w:pPr>
              <w:keepNext/>
              <w:widowControl w:val="0"/>
              <w:jc w:val="center"/>
              <w:cnfStyle w:val="100000000000" w:firstRow="1" w:lastRow="0" w:firstColumn="0" w:lastColumn="0" w:oddVBand="0" w:evenVBand="0" w:oddHBand="0" w:evenHBand="0" w:firstRowFirstColumn="0" w:firstRowLastColumn="0" w:lastRowFirstColumn="0" w:lastRowLastColumn="0"/>
              <w:rPr>
                <w:rFonts w:eastAsia="Calibri" w:cs="Arial"/>
                <w:sz w:val="22"/>
              </w:rPr>
            </w:pPr>
            <w:r w:rsidRPr="005251FF">
              <w:rPr>
                <w:rFonts w:eastAsia="Calibri" w:cs="Arial"/>
                <w:sz w:val="22"/>
              </w:rPr>
              <w:t>Indicator</w:t>
            </w:r>
          </w:p>
        </w:tc>
        <w:tc>
          <w:tcPr>
            <w:tcW w:w="1350" w:type="dxa"/>
            <w:vAlign w:val="center"/>
          </w:tcPr>
          <w:p w14:paraId="6D2FA1C5" w14:textId="77777777" w:rsidR="004A6E23" w:rsidRPr="005251FF" w:rsidRDefault="004A6E23" w:rsidP="00FE6E8C">
            <w:pPr>
              <w:keepNext/>
              <w:widowControl w:val="0"/>
              <w:jc w:val="center"/>
              <w:cnfStyle w:val="100000000000" w:firstRow="1" w:lastRow="0" w:firstColumn="0" w:lastColumn="0" w:oddVBand="0" w:evenVBand="0" w:oddHBand="0" w:evenHBand="0" w:firstRowFirstColumn="0" w:firstRowLastColumn="0" w:lastRowFirstColumn="0" w:lastRowLastColumn="0"/>
              <w:rPr>
                <w:rFonts w:eastAsia="Calibri" w:cs="Arial"/>
                <w:sz w:val="22"/>
              </w:rPr>
            </w:pPr>
            <w:r w:rsidRPr="005251FF">
              <w:rPr>
                <w:rFonts w:eastAsia="Calibri" w:cs="Arial"/>
                <w:sz w:val="22"/>
              </w:rPr>
              <w:t>Unit of Measure</w:t>
            </w:r>
          </w:p>
        </w:tc>
        <w:tc>
          <w:tcPr>
            <w:tcW w:w="1166" w:type="dxa"/>
            <w:vAlign w:val="center"/>
          </w:tcPr>
          <w:p w14:paraId="575DEF70" w14:textId="77777777" w:rsidR="004A6E23" w:rsidRPr="005251FF" w:rsidRDefault="004A6E23" w:rsidP="00F40D97">
            <w:pPr>
              <w:keepNext/>
              <w:widowControl w:val="0"/>
              <w:jc w:val="center"/>
              <w:cnfStyle w:val="100000000000" w:firstRow="1" w:lastRow="0" w:firstColumn="0" w:lastColumn="0" w:oddVBand="0" w:evenVBand="0" w:oddHBand="0" w:evenHBand="0" w:firstRowFirstColumn="0" w:firstRowLastColumn="0" w:lastRowFirstColumn="0" w:lastRowLastColumn="0"/>
              <w:rPr>
                <w:rFonts w:eastAsia="Calibri" w:cs="Arial"/>
                <w:sz w:val="22"/>
              </w:rPr>
            </w:pPr>
            <w:r w:rsidRPr="005251FF">
              <w:rPr>
                <w:rFonts w:eastAsia="Calibri" w:cs="Arial"/>
                <w:sz w:val="22"/>
              </w:rPr>
              <w:t>Expected – Strategic Plan</w:t>
            </w:r>
          </w:p>
        </w:tc>
        <w:tc>
          <w:tcPr>
            <w:tcW w:w="1166" w:type="dxa"/>
            <w:vAlign w:val="center"/>
          </w:tcPr>
          <w:p w14:paraId="49B772AE" w14:textId="77777777" w:rsidR="004A6E23" w:rsidRPr="005251FF" w:rsidRDefault="004A6E23" w:rsidP="00FE6E8C">
            <w:pPr>
              <w:keepNext/>
              <w:widowControl w:val="0"/>
              <w:jc w:val="center"/>
              <w:cnfStyle w:val="100000000000" w:firstRow="1" w:lastRow="0" w:firstColumn="0" w:lastColumn="0" w:oddVBand="0" w:evenVBand="0" w:oddHBand="0" w:evenHBand="0" w:firstRowFirstColumn="0" w:firstRowLastColumn="0" w:lastRowFirstColumn="0" w:lastRowLastColumn="0"/>
              <w:rPr>
                <w:rFonts w:eastAsia="Calibri" w:cs="Arial"/>
                <w:sz w:val="22"/>
              </w:rPr>
            </w:pPr>
            <w:r w:rsidRPr="005251FF">
              <w:rPr>
                <w:rFonts w:eastAsia="Calibri" w:cs="Arial"/>
                <w:sz w:val="22"/>
              </w:rPr>
              <w:t>Actual – Strategic Plan</w:t>
            </w:r>
          </w:p>
        </w:tc>
        <w:tc>
          <w:tcPr>
            <w:tcW w:w="1166" w:type="dxa"/>
            <w:vAlign w:val="center"/>
          </w:tcPr>
          <w:p w14:paraId="1DB752A2" w14:textId="77777777" w:rsidR="004A6E23" w:rsidRPr="005251FF" w:rsidRDefault="004A6E23" w:rsidP="00FE6E8C">
            <w:pPr>
              <w:keepNext/>
              <w:widowControl w:val="0"/>
              <w:jc w:val="center"/>
              <w:cnfStyle w:val="100000000000" w:firstRow="1" w:lastRow="0" w:firstColumn="0" w:lastColumn="0" w:oddVBand="0" w:evenVBand="0" w:oddHBand="0" w:evenHBand="0" w:firstRowFirstColumn="0" w:firstRowLastColumn="0" w:lastRowFirstColumn="0" w:lastRowLastColumn="0"/>
              <w:rPr>
                <w:rFonts w:eastAsia="Calibri" w:cs="Arial"/>
                <w:sz w:val="22"/>
              </w:rPr>
            </w:pPr>
            <w:r w:rsidRPr="005251FF">
              <w:rPr>
                <w:rFonts w:eastAsia="Calibri" w:cs="Arial"/>
                <w:sz w:val="22"/>
              </w:rPr>
              <w:t>Percent Complete</w:t>
            </w:r>
            <w:r w:rsidR="00F40D97">
              <w:rPr>
                <w:rFonts w:eastAsia="Calibri" w:cs="Arial"/>
                <w:sz w:val="22"/>
              </w:rPr>
              <w:t>d</w:t>
            </w:r>
          </w:p>
        </w:tc>
        <w:tc>
          <w:tcPr>
            <w:tcW w:w="1166" w:type="dxa"/>
            <w:vAlign w:val="center"/>
          </w:tcPr>
          <w:p w14:paraId="1CE9C707" w14:textId="77777777" w:rsidR="00F40D97" w:rsidRDefault="004A6E23" w:rsidP="00F40D97">
            <w:pPr>
              <w:keepNext/>
              <w:widowControl w:val="0"/>
              <w:jc w:val="center"/>
              <w:cnfStyle w:val="100000000000" w:firstRow="1" w:lastRow="0" w:firstColumn="0" w:lastColumn="0" w:oddVBand="0" w:evenVBand="0" w:oddHBand="0" w:evenHBand="0" w:firstRowFirstColumn="0" w:firstRowLastColumn="0" w:lastRowFirstColumn="0" w:lastRowLastColumn="0"/>
              <w:rPr>
                <w:rFonts w:eastAsia="Calibri" w:cs="Arial"/>
                <w:sz w:val="22"/>
              </w:rPr>
            </w:pPr>
            <w:r w:rsidRPr="005251FF">
              <w:rPr>
                <w:rFonts w:eastAsia="Calibri" w:cs="Arial"/>
                <w:sz w:val="22"/>
              </w:rPr>
              <w:t>Expect</w:t>
            </w:r>
          </w:p>
          <w:p w14:paraId="4F851788" w14:textId="77777777" w:rsidR="004A6E23" w:rsidRPr="005251FF" w:rsidRDefault="004A6E23" w:rsidP="00F40D97">
            <w:pPr>
              <w:keepNext/>
              <w:widowControl w:val="0"/>
              <w:jc w:val="center"/>
              <w:cnfStyle w:val="100000000000" w:firstRow="1" w:lastRow="0" w:firstColumn="0" w:lastColumn="0" w:oddVBand="0" w:evenVBand="0" w:oddHBand="0" w:evenHBand="0" w:firstRowFirstColumn="0" w:firstRowLastColumn="0" w:lastRowFirstColumn="0" w:lastRowLastColumn="0"/>
              <w:rPr>
                <w:rFonts w:eastAsia="Calibri" w:cs="Arial"/>
                <w:sz w:val="22"/>
              </w:rPr>
            </w:pPr>
            <w:r w:rsidRPr="005251FF">
              <w:rPr>
                <w:rFonts w:eastAsia="Calibri" w:cs="Arial"/>
                <w:sz w:val="22"/>
              </w:rPr>
              <w:t>ed – Program Year</w:t>
            </w:r>
          </w:p>
        </w:tc>
        <w:tc>
          <w:tcPr>
            <w:tcW w:w="1166" w:type="dxa"/>
            <w:vAlign w:val="center"/>
          </w:tcPr>
          <w:p w14:paraId="3FE49AE4" w14:textId="77777777" w:rsidR="004A6E23" w:rsidRPr="005251FF" w:rsidRDefault="004A6E23" w:rsidP="00F40D97">
            <w:pPr>
              <w:keepNext/>
              <w:widowControl w:val="0"/>
              <w:jc w:val="center"/>
              <w:cnfStyle w:val="100000000000" w:firstRow="1" w:lastRow="0" w:firstColumn="0" w:lastColumn="0" w:oddVBand="0" w:evenVBand="0" w:oddHBand="0" w:evenHBand="0" w:firstRowFirstColumn="0" w:firstRowLastColumn="0" w:lastRowFirstColumn="0" w:lastRowLastColumn="0"/>
              <w:rPr>
                <w:rFonts w:eastAsia="Calibri" w:cs="Arial"/>
                <w:sz w:val="22"/>
              </w:rPr>
            </w:pPr>
            <w:r w:rsidRPr="005251FF">
              <w:rPr>
                <w:rFonts w:eastAsia="Calibri" w:cs="Arial"/>
                <w:sz w:val="22"/>
              </w:rPr>
              <w:t>Actual – Program Year</w:t>
            </w:r>
          </w:p>
        </w:tc>
        <w:tc>
          <w:tcPr>
            <w:tcW w:w="1166" w:type="dxa"/>
            <w:vAlign w:val="center"/>
          </w:tcPr>
          <w:p w14:paraId="4016F88A" w14:textId="77777777" w:rsidR="004A6E23" w:rsidRPr="005251FF" w:rsidRDefault="004A6E23" w:rsidP="00FE6E8C">
            <w:pPr>
              <w:keepNext/>
              <w:widowControl w:val="0"/>
              <w:jc w:val="center"/>
              <w:cnfStyle w:val="100000000000" w:firstRow="1" w:lastRow="0" w:firstColumn="0" w:lastColumn="0" w:oddVBand="0" w:evenVBand="0" w:oddHBand="0" w:evenHBand="0" w:firstRowFirstColumn="0" w:firstRowLastColumn="0" w:lastRowFirstColumn="0" w:lastRowLastColumn="0"/>
              <w:rPr>
                <w:rFonts w:eastAsia="Calibri" w:cs="Arial"/>
                <w:sz w:val="22"/>
              </w:rPr>
            </w:pPr>
            <w:r w:rsidRPr="005251FF">
              <w:rPr>
                <w:rFonts w:eastAsia="Calibri" w:cs="Arial"/>
                <w:sz w:val="22"/>
              </w:rPr>
              <w:t>Percent Complete</w:t>
            </w:r>
          </w:p>
        </w:tc>
      </w:tr>
      <w:tr w:rsidR="00EA070F" w:rsidRPr="00ED318C" w14:paraId="4FA53AE6" w14:textId="77777777" w:rsidTr="008A7C09">
        <w:trPr>
          <w:cnfStyle w:val="000000100000" w:firstRow="0" w:lastRow="0" w:firstColumn="0" w:lastColumn="0" w:oddVBand="0" w:evenVBand="0" w:oddHBand="1" w:evenHBand="0" w:firstRowFirstColumn="0" w:firstRowLastColumn="0" w:lastRowFirstColumn="0" w:lastRowLastColumn="0"/>
          <w:trHeight w:val="1385"/>
          <w:jc w:val="center"/>
        </w:trPr>
        <w:tc>
          <w:tcPr>
            <w:cnfStyle w:val="001000000000" w:firstRow="0" w:lastRow="0" w:firstColumn="1" w:lastColumn="0" w:oddVBand="0" w:evenVBand="0" w:oddHBand="0" w:evenHBand="0" w:firstRowFirstColumn="0" w:firstRowLastColumn="0" w:lastRowFirstColumn="0" w:lastRowLastColumn="0"/>
            <w:tcW w:w="1705" w:type="dxa"/>
            <w:vMerge w:val="restart"/>
            <w:vAlign w:val="center"/>
          </w:tcPr>
          <w:p w14:paraId="416DCF67" w14:textId="77777777" w:rsidR="00CB24D0" w:rsidRPr="00EA070F" w:rsidRDefault="00CB24D0" w:rsidP="00F40D97">
            <w:pPr>
              <w:spacing w:beforeAutospacing="1" w:line="276" w:lineRule="auto"/>
              <w:jc w:val="center"/>
              <w:rPr>
                <w:rFonts w:eastAsia="Calibri" w:cs="Arial"/>
                <w:sz w:val="20"/>
                <w:szCs w:val="20"/>
              </w:rPr>
            </w:pPr>
            <w:r w:rsidRPr="00C70BD8">
              <w:rPr>
                <w:rFonts w:eastAsia="Calibri" w:cs="Arial"/>
                <w:color w:val="000000"/>
                <w:sz w:val="20"/>
                <w:szCs w:val="20"/>
              </w:rPr>
              <w:t>Expand homeowner</w:t>
            </w:r>
            <w:r w:rsidR="00F40D97" w:rsidRPr="00C70BD8">
              <w:rPr>
                <w:rFonts w:eastAsia="Calibri" w:cs="Arial"/>
                <w:color w:val="000000"/>
                <w:sz w:val="20"/>
                <w:szCs w:val="20"/>
              </w:rPr>
              <w:t>-</w:t>
            </w:r>
            <w:r w:rsidRPr="00C70BD8">
              <w:rPr>
                <w:rFonts w:eastAsia="Calibri" w:cs="Arial"/>
                <w:color w:val="000000"/>
                <w:sz w:val="20"/>
                <w:szCs w:val="20"/>
              </w:rPr>
              <w:t>ship and improve existing housing</w:t>
            </w:r>
          </w:p>
        </w:tc>
        <w:tc>
          <w:tcPr>
            <w:tcW w:w="1620" w:type="dxa"/>
            <w:vMerge w:val="restart"/>
            <w:shd w:val="clear" w:color="auto" w:fill="auto"/>
            <w:vAlign w:val="center"/>
          </w:tcPr>
          <w:p w14:paraId="2CBA7A03" w14:textId="77777777" w:rsidR="00CB24D0" w:rsidRPr="00EA070F" w:rsidRDefault="00CB24D0" w:rsidP="00D84F8F">
            <w:pPr>
              <w:spacing w:before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color w:val="000000"/>
                <w:sz w:val="20"/>
                <w:szCs w:val="20"/>
              </w:rPr>
              <w:t>Affordable Housing</w:t>
            </w:r>
          </w:p>
        </w:tc>
        <w:tc>
          <w:tcPr>
            <w:tcW w:w="1350" w:type="dxa"/>
            <w:vMerge w:val="restart"/>
            <w:vAlign w:val="center"/>
          </w:tcPr>
          <w:p w14:paraId="08E78588" w14:textId="77777777" w:rsidR="00CB24D0" w:rsidRPr="00EA070F" w:rsidRDefault="00CB24D0" w:rsidP="0056702A">
            <w:pPr>
              <w:spacing w:beforeAutospacing="1"/>
              <w:cnfStyle w:val="000000100000" w:firstRow="0" w:lastRow="0" w:firstColumn="0" w:lastColumn="0" w:oddVBand="0" w:evenVBand="0" w:oddHBand="1" w:evenHBand="0" w:firstRowFirstColumn="0" w:firstRowLastColumn="0" w:lastRowFirstColumn="0" w:lastRowLastColumn="0"/>
              <w:rPr>
                <w:rFonts w:eastAsia="Calibri" w:cs="Arial"/>
                <w:b/>
                <w:sz w:val="20"/>
                <w:szCs w:val="20"/>
              </w:rPr>
            </w:pPr>
            <w:r w:rsidRPr="00EA070F">
              <w:rPr>
                <w:rFonts w:eastAsia="Calibri" w:cs="Arial"/>
                <w:color w:val="000000"/>
                <w:sz w:val="20"/>
                <w:szCs w:val="20"/>
              </w:rPr>
              <w:t>CDBG: $</w:t>
            </w:r>
            <w:r w:rsidRPr="00EA070F">
              <w:rPr>
                <w:rFonts w:eastAsia="Calibri" w:cs="Arial"/>
                <w:b/>
                <w:color w:val="000000"/>
                <w:sz w:val="20"/>
                <w:szCs w:val="20"/>
              </w:rPr>
              <w:t xml:space="preserve"> </w:t>
            </w:r>
            <w:r w:rsidRPr="00EA070F">
              <w:rPr>
                <w:rFonts w:eastAsia="Calibri" w:cs="Arial"/>
                <w:b/>
                <w:sz w:val="20"/>
                <w:szCs w:val="20"/>
              </w:rPr>
              <w:t>5,675,199</w:t>
            </w:r>
          </w:p>
          <w:p w14:paraId="34FA6DFA" w14:textId="77777777" w:rsidR="00CB24D0" w:rsidRPr="00EA070F" w:rsidRDefault="00CB24D0" w:rsidP="0056702A">
            <w:pPr>
              <w:spacing w:beforeAutospacing="1"/>
              <w:cnfStyle w:val="000000100000" w:firstRow="0" w:lastRow="0" w:firstColumn="0" w:lastColumn="0" w:oddVBand="0" w:evenVBand="0" w:oddHBand="1" w:evenHBand="0" w:firstRowFirstColumn="0" w:firstRowLastColumn="0" w:lastRowFirstColumn="0" w:lastRowLastColumn="0"/>
              <w:rPr>
                <w:rFonts w:eastAsia="Calibri" w:cs="Arial"/>
                <w:b/>
                <w:sz w:val="20"/>
                <w:szCs w:val="20"/>
              </w:rPr>
            </w:pPr>
            <w:r w:rsidRPr="00EA070F">
              <w:rPr>
                <w:rFonts w:eastAsia="Calibri" w:cs="Arial"/>
                <w:sz w:val="20"/>
                <w:szCs w:val="20"/>
              </w:rPr>
              <w:t>HOME</w:t>
            </w:r>
            <w:r w:rsidRPr="00EA070F">
              <w:rPr>
                <w:rFonts w:eastAsia="Calibri" w:cs="Arial"/>
                <w:b/>
                <w:sz w:val="20"/>
                <w:szCs w:val="20"/>
              </w:rPr>
              <w:t>: $13,498,858</w:t>
            </w:r>
          </w:p>
          <w:p w14:paraId="0659D2CF" w14:textId="77777777" w:rsidR="00CB24D0" w:rsidRPr="00EA070F" w:rsidRDefault="00CB24D0" w:rsidP="0056702A">
            <w:pPr>
              <w:spacing w:beforeAutospacing="1"/>
              <w:cnfStyle w:val="000000100000" w:firstRow="0" w:lastRow="0" w:firstColumn="0" w:lastColumn="0" w:oddVBand="0" w:evenVBand="0" w:oddHBand="1" w:evenHBand="0" w:firstRowFirstColumn="0" w:firstRowLastColumn="0" w:lastRowFirstColumn="0" w:lastRowLastColumn="0"/>
              <w:rPr>
                <w:rFonts w:eastAsia="Calibri" w:cs="Arial"/>
                <w:b/>
                <w:color w:val="808080" w:themeColor="background1" w:themeShade="80"/>
                <w:sz w:val="20"/>
                <w:szCs w:val="20"/>
              </w:rPr>
            </w:pPr>
            <w:r w:rsidRPr="00EA070F">
              <w:rPr>
                <w:rFonts w:eastAsia="Calibri" w:cs="Arial"/>
                <w:color w:val="000000"/>
                <w:sz w:val="20"/>
                <w:szCs w:val="20"/>
              </w:rPr>
              <w:t>Lead Hazard Control Program:</w:t>
            </w:r>
            <w:r w:rsidRPr="00EA070F">
              <w:rPr>
                <w:rFonts w:eastAsia="Calibri" w:cs="Arial"/>
                <w:b/>
                <w:color w:val="000000"/>
                <w:sz w:val="20"/>
                <w:szCs w:val="20"/>
              </w:rPr>
              <w:t xml:space="preserve"> $</w:t>
            </w:r>
            <w:r w:rsidRPr="00EA070F">
              <w:rPr>
                <w:rFonts w:eastAsia="Calibri" w:cs="Arial"/>
                <w:b/>
                <w:sz w:val="20"/>
                <w:szCs w:val="20"/>
              </w:rPr>
              <w:t>850,00</w:t>
            </w:r>
          </w:p>
          <w:p w14:paraId="3EF91183" w14:textId="77777777" w:rsidR="00CB24D0" w:rsidRPr="00EA070F" w:rsidRDefault="00CB24D0" w:rsidP="0056702A">
            <w:pPr>
              <w:spacing w:before="100" w:beforeAutospacing="1"/>
              <w:cnfStyle w:val="000000100000" w:firstRow="0" w:lastRow="0" w:firstColumn="0" w:lastColumn="0" w:oddVBand="0" w:evenVBand="0" w:oddHBand="1" w:evenHBand="0" w:firstRowFirstColumn="0" w:firstRowLastColumn="0" w:lastRowFirstColumn="0" w:lastRowLastColumn="0"/>
              <w:rPr>
                <w:rFonts w:eastAsia="Calibri" w:cs="Arial"/>
                <w:b/>
                <w:color w:val="000000"/>
                <w:sz w:val="20"/>
                <w:szCs w:val="20"/>
              </w:rPr>
            </w:pPr>
          </w:p>
        </w:tc>
        <w:tc>
          <w:tcPr>
            <w:tcW w:w="1530" w:type="dxa"/>
            <w:vAlign w:val="center"/>
          </w:tcPr>
          <w:p w14:paraId="74219EE9" w14:textId="77777777" w:rsidR="00CB24D0" w:rsidRPr="00EA070F" w:rsidRDefault="00CB24D0" w:rsidP="00CB24D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Homeowner Housing Added</w:t>
            </w:r>
          </w:p>
        </w:tc>
        <w:tc>
          <w:tcPr>
            <w:tcW w:w="1350" w:type="dxa"/>
            <w:vAlign w:val="center"/>
          </w:tcPr>
          <w:p w14:paraId="48DA460F" w14:textId="77777777" w:rsidR="00CB24D0" w:rsidRPr="00EA070F" w:rsidRDefault="00CB24D0" w:rsidP="00CB24D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color w:val="000000"/>
                <w:sz w:val="20"/>
                <w:szCs w:val="20"/>
              </w:rPr>
              <w:t>Household Housing Unit</w:t>
            </w:r>
          </w:p>
        </w:tc>
        <w:tc>
          <w:tcPr>
            <w:tcW w:w="1166" w:type="dxa"/>
            <w:vAlign w:val="center"/>
          </w:tcPr>
          <w:p w14:paraId="78BE7933" w14:textId="77777777" w:rsidR="00CB24D0" w:rsidRPr="00EA070F" w:rsidRDefault="00CB24D0" w:rsidP="00BE074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329</w:t>
            </w:r>
          </w:p>
        </w:tc>
        <w:tc>
          <w:tcPr>
            <w:tcW w:w="1166" w:type="dxa"/>
            <w:vAlign w:val="center"/>
          </w:tcPr>
          <w:p w14:paraId="58FE3285" w14:textId="0D59E99B" w:rsidR="00CB24D0" w:rsidRPr="00EA070F" w:rsidRDefault="00CB24D0" w:rsidP="008A7C09">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204</w:t>
            </w:r>
          </w:p>
        </w:tc>
        <w:tc>
          <w:tcPr>
            <w:tcW w:w="1166" w:type="dxa"/>
            <w:vAlign w:val="center"/>
          </w:tcPr>
          <w:p w14:paraId="2AE50A82" w14:textId="77777777" w:rsidR="00CB24D0" w:rsidRPr="00EA070F" w:rsidRDefault="00CB24D0" w:rsidP="006E541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62%</w:t>
            </w:r>
          </w:p>
        </w:tc>
        <w:tc>
          <w:tcPr>
            <w:tcW w:w="1166" w:type="dxa"/>
            <w:vAlign w:val="center"/>
          </w:tcPr>
          <w:p w14:paraId="2FD0F02C" w14:textId="77777777" w:rsidR="00CB24D0" w:rsidRPr="00EA070F" w:rsidRDefault="00CB24D0" w:rsidP="00F40D97">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11</w:t>
            </w:r>
          </w:p>
        </w:tc>
        <w:tc>
          <w:tcPr>
            <w:tcW w:w="1166" w:type="dxa"/>
            <w:vAlign w:val="center"/>
          </w:tcPr>
          <w:p w14:paraId="5E2B5480" w14:textId="785876E9" w:rsidR="00CB24D0" w:rsidRPr="00EA070F" w:rsidRDefault="00CB24D0" w:rsidP="008A7C09">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24</w:t>
            </w:r>
          </w:p>
        </w:tc>
        <w:tc>
          <w:tcPr>
            <w:tcW w:w="1166" w:type="dxa"/>
            <w:vAlign w:val="center"/>
          </w:tcPr>
          <w:p w14:paraId="3F558A3E" w14:textId="77777777" w:rsidR="00CB24D0" w:rsidRPr="00ED318C" w:rsidRDefault="00CB24D0" w:rsidP="00AF1D89">
            <w:pPr>
              <w:spacing w:beforeAutospacing="1" w:afterAutospacing="1"/>
              <w:jc w:val="right"/>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red"/>
              </w:rPr>
            </w:pPr>
            <w:r w:rsidRPr="001C19FC">
              <w:rPr>
                <w:rFonts w:eastAsia="Calibri" w:cs="Arial"/>
                <w:sz w:val="20"/>
                <w:szCs w:val="20"/>
              </w:rPr>
              <w:t>218%</w:t>
            </w:r>
          </w:p>
        </w:tc>
      </w:tr>
      <w:tr w:rsidR="00CB24D0" w:rsidRPr="004A6E23" w14:paraId="6D39716B" w14:textId="77777777" w:rsidTr="008A7C09">
        <w:trPr>
          <w:trHeight w:val="980"/>
          <w:jc w:val="center"/>
        </w:trPr>
        <w:tc>
          <w:tcPr>
            <w:cnfStyle w:val="001000000000" w:firstRow="0" w:lastRow="0" w:firstColumn="1" w:lastColumn="0" w:oddVBand="0" w:evenVBand="0" w:oddHBand="0" w:evenHBand="0" w:firstRowFirstColumn="0" w:firstRowLastColumn="0" w:lastRowFirstColumn="0" w:lastRowLastColumn="0"/>
            <w:tcW w:w="1705" w:type="dxa"/>
            <w:vMerge/>
            <w:vAlign w:val="center"/>
          </w:tcPr>
          <w:p w14:paraId="10D1633F" w14:textId="77777777" w:rsidR="00CB24D0" w:rsidRPr="00EA070F" w:rsidRDefault="00CB24D0" w:rsidP="00F40D97">
            <w:pPr>
              <w:spacing w:beforeAutospacing="1" w:line="276" w:lineRule="auto"/>
              <w:jc w:val="center"/>
              <w:rPr>
                <w:rFonts w:eastAsia="Calibri" w:cs="Arial"/>
                <w:sz w:val="20"/>
                <w:szCs w:val="20"/>
              </w:rPr>
            </w:pPr>
          </w:p>
        </w:tc>
        <w:tc>
          <w:tcPr>
            <w:tcW w:w="1620" w:type="dxa"/>
            <w:vMerge/>
            <w:shd w:val="clear" w:color="auto" w:fill="auto"/>
            <w:vAlign w:val="center"/>
          </w:tcPr>
          <w:p w14:paraId="4BD92B9F" w14:textId="77777777" w:rsidR="00CB24D0" w:rsidRPr="00EA070F" w:rsidRDefault="00CB24D0" w:rsidP="00D84F8F">
            <w:pPr>
              <w:spacing w:before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1350" w:type="dxa"/>
            <w:vMerge/>
            <w:shd w:val="clear" w:color="auto" w:fill="D7E2ED" w:themeFill="accent3" w:themeFillTint="33"/>
            <w:vAlign w:val="center"/>
          </w:tcPr>
          <w:p w14:paraId="656B5464" w14:textId="77777777" w:rsidR="00CB24D0" w:rsidRPr="00EA070F" w:rsidRDefault="00CB24D0" w:rsidP="0056702A">
            <w:pPr>
              <w:spacing w:before="100" w:beforeAutospacing="1"/>
              <w:cnfStyle w:val="000000000000" w:firstRow="0" w:lastRow="0" w:firstColumn="0" w:lastColumn="0" w:oddVBand="0" w:evenVBand="0" w:oddHBand="0" w:evenHBand="0" w:firstRowFirstColumn="0" w:firstRowLastColumn="0" w:lastRowFirstColumn="0" w:lastRowLastColumn="0"/>
              <w:rPr>
                <w:rFonts w:eastAsia="Calibri" w:cs="Arial"/>
                <w:b/>
                <w:color w:val="808080" w:themeColor="background1" w:themeShade="80"/>
                <w:sz w:val="20"/>
                <w:szCs w:val="20"/>
              </w:rPr>
            </w:pPr>
          </w:p>
        </w:tc>
        <w:tc>
          <w:tcPr>
            <w:tcW w:w="1530" w:type="dxa"/>
            <w:vAlign w:val="center"/>
          </w:tcPr>
          <w:p w14:paraId="6191742A" w14:textId="77777777" w:rsidR="00CB24D0" w:rsidRPr="00EA070F" w:rsidRDefault="00CB24D0" w:rsidP="00CB24D0">
            <w:pPr>
              <w:spacing w:before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Homeowner Housing Rehabilitated</w:t>
            </w:r>
          </w:p>
        </w:tc>
        <w:tc>
          <w:tcPr>
            <w:tcW w:w="1350" w:type="dxa"/>
            <w:vAlign w:val="center"/>
          </w:tcPr>
          <w:p w14:paraId="2422686B" w14:textId="77777777" w:rsidR="00CB24D0" w:rsidRPr="00EA070F" w:rsidRDefault="00CB24D0" w:rsidP="00EA070F">
            <w:pPr>
              <w:spacing w:before="100" w:before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color w:val="000000"/>
                <w:sz w:val="20"/>
                <w:szCs w:val="20"/>
              </w:rPr>
              <w:t>Household Housing Unit</w:t>
            </w:r>
          </w:p>
        </w:tc>
        <w:tc>
          <w:tcPr>
            <w:tcW w:w="1166" w:type="dxa"/>
            <w:vAlign w:val="center"/>
          </w:tcPr>
          <w:p w14:paraId="1A574CCD" w14:textId="6AFE461E" w:rsidR="00CB24D0" w:rsidRPr="00EA070F" w:rsidRDefault="00CB24D0" w:rsidP="008A7C09">
            <w:pPr>
              <w:spacing w:before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3142</w:t>
            </w:r>
          </w:p>
        </w:tc>
        <w:tc>
          <w:tcPr>
            <w:tcW w:w="1166" w:type="dxa"/>
            <w:vAlign w:val="center"/>
          </w:tcPr>
          <w:p w14:paraId="02673D51" w14:textId="7B66922C" w:rsidR="00CB24D0" w:rsidRPr="00EA070F" w:rsidRDefault="00CB24D0" w:rsidP="008A7C09">
            <w:pPr>
              <w:spacing w:before="100" w:before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808080" w:themeColor="background1" w:themeShade="80"/>
                <w:sz w:val="20"/>
                <w:szCs w:val="20"/>
              </w:rPr>
            </w:pPr>
            <w:r w:rsidRPr="00EA070F">
              <w:rPr>
                <w:rFonts w:eastAsia="Calibri" w:cs="Arial"/>
                <w:sz w:val="20"/>
                <w:szCs w:val="20"/>
              </w:rPr>
              <w:t>3232</w:t>
            </w:r>
          </w:p>
        </w:tc>
        <w:tc>
          <w:tcPr>
            <w:tcW w:w="1166" w:type="dxa"/>
            <w:vAlign w:val="center"/>
          </w:tcPr>
          <w:p w14:paraId="4DA80CCA" w14:textId="77777777" w:rsidR="00CB24D0" w:rsidRPr="00EA070F" w:rsidRDefault="00CB24D0" w:rsidP="00AF1D89">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eastAsia="Calibri" w:cs="Arial"/>
                <w:color w:val="808080" w:themeColor="background1" w:themeShade="80"/>
                <w:sz w:val="20"/>
                <w:szCs w:val="20"/>
              </w:rPr>
            </w:pPr>
            <w:r w:rsidRPr="00EA070F">
              <w:rPr>
                <w:rFonts w:eastAsia="Calibri" w:cs="Arial"/>
                <w:sz w:val="20"/>
                <w:szCs w:val="20"/>
              </w:rPr>
              <w:t>103%</w:t>
            </w:r>
          </w:p>
        </w:tc>
        <w:tc>
          <w:tcPr>
            <w:tcW w:w="1166" w:type="dxa"/>
            <w:vAlign w:val="center"/>
          </w:tcPr>
          <w:p w14:paraId="5E524071" w14:textId="4EAC1FC4" w:rsidR="00CB24D0" w:rsidRPr="001C19FC" w:rsidRDefault="00CB24D0" w:rsidP="008A7C09">
            <w:pPr>
              <w:spacing w:before="100" w:before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C19FC">
              <w:rPr>
                <w:rFonts w:eastAsia="Calibri" w:cs="Arial"/>
                <w:sz w:val="20"/>
                <w:szCs w:val="20"/>
              </w:rPr>
              <w:t>165</w:t>
            </w:r>
          </w:p>
        </w:tc>
        <w:tc>
          <w:tcPr>
            <w:tcW w:w="1166" w:type="dxa"/>
            <w:vAlign w:val="center"/>
          </w:tcPr>
          <w:p w14:paraId="6CFD16A6" w14:textId="1964D0D6" w:rsidR="00CB24D0" w:rsidRPr="001C19FC" w:rsidRDefault="00CB24D0" w:rsidP="008A7C09">
            <w:pPr>
              <w:spacing w:before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C19FC">
              <w:rPr>
                <w:rFonts w:eastAsia="Calibri" w:cs="Arial"/>
                <w:sz w:val="20"/>
                <w:szCs w:val="20"/>
              </w:rPr>
              <w:t>189</w:t>
            </w:r>
          </w:p>
        </w:tc>
        <w:tc>
          <w:tcPr>
            <w:tcW w:w="1166" w:type="dxa"/>
            <w:vAlign w:val="center"/>
          </w:tcPr>
          <w:p w14:paraId="445ADF68" w14:textId="77777777" w:rsidR="00CB24D0" w:rsidRPr="001C19FC" w:rsidRDefault="00CB24D0" w:rsidP="00AF1D89">
            <w:pPr>
              <w:spacing w:beforeAutospacing="1"/>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C19FC">
              <w:rPr>
                <w:rFonts w:eastAsia="Calibri" w:cs="Arial"/>
                <w:sz w:val="20"/>
                <w:szCs w:val="20"/>
              </w:rPr>
              <w:t>114%</w:t>
            </w:r>
          </w:p>
        </w:tc>
      </w:tr>
      <w:tr w:rsidR="00CB24D0" w:rsidRPr="004A6E23" w14:paraId="207DD39A" w14:textId="77777777" w:rsidTr="008A7C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vMerge/>
            <w:vAlign w:val="center"/>
          </w:tcPr>
          <w:p w14:paraId="4FC11181" w14:textId="77777777" w:rsidR="00CB24D0" w:rsidRPr="00EA070F" w:rsidRDefault="00CB24D0" w:rsidP="00F40D97">
            <w:pPr>
              <w:spacing w:beforeAutospacing="1" w:line="276" w:lineRule="auto"/>
              <w:jc w:val="center"/>
              <w:rPr>
                <w:rFonts w:eastAsia="Calibri" w:cs="Arial"/>
                <w:sz w:val="20"/>
                <w:szCs w:val="20"/>
              </w:rPr>
            </w:pPr>
          </w:p>
        </w:tc>
        <w:tc>
          <w:tcPr>
            <w:tcW w:w="1620" w:type="dxa"/>
            <w:vMerge/>
            <w:shd w:val="clear" w:color="auto" w:fill="auto"/>
            <w:vAlign w:val="center"/>
          </w:tcPr>
          <w:p w14:paraId="3CC9509D" w14:textId="77777777" w:rsidR="00CB24D0" w:rsidRPr="00EA070F" w:rsidRDefault="00CB24D0" w:rsidP="00D84F8F">
            <w:pPr>
              <w:spacing w:before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1350" w:type="dxa"/>
            <w:vMerge/>
            <w:vAlign w:val="center"/>
          </w:tcPr>
          <w:p w14:paraId="12266D35" w14:textId="77777777" w:rsidR="00CB24D0" w:rsidRPr="00EA070F" w:rsidRDefault="00CB24D0" w:rsidP="0056702A">
            <w:pPr>
              <w:spacing w:before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color w:val="808080" w:themeColor="background1" w:themeShade="80"/>
                <w:sz w:val="20"/>
                <w:szCs w:val="20"/>
              </w:rPr>
            </w:pPr>
          </w:p>
        </w:tc>
        <w:tc>
          <w:tcPr>
            <w:tcW w:w="1530" w:type="dxa"/>
            <w:vAlign w:val="center"/>
          </w:tcPr>
          <w:p w14:paraId="67383962" w14:textId="77777777" w:rsidR="00CB24D0" w:rsidRPr="00EA070F" w:rsidRDefault="00CB24D0" w:rsidP="00CB24D0">
            <w:pPr>
              <w:spacing w:before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Direct Financial Assistance to Homebuyers</w:t>
            </w:r>
          </w:p>
        </w:tc>
        <w:tc>
          <w:tcPr>
            <w:tcW w:w="1350" w:type="dxa"/>
            <w:vAlign w:val="center"/>
          </w:tcPr>
          <w:p w14:paraId="72FE481B" w14:textId="77777777" w:rsidR="00CB24D0" w:rsidRPr="00EA070F" w:rsidRDefault="00CB24D0" w:rsidP="00CB24D0">
            <w:pPr>
              <w:spacing w:before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color w:val="000000"/>
                <w:sz w:val="20"/>
                <w:szCs w:val="20"/>
              </w:rPr>
              <w:t>Households Assisted</w:t>
            </w:r>
          </w:p>
        </w:tc>
        <w:tc>
          <w:tcPr>
            <w:tcW w:w="1166" w:type="dxa"/>
            <w:vAlign w:val="center"/>
          </w:tcPr>
          <w:p w14:paraId="2021160B" w14:textId="77777777" w:rsidR="00CB24D0" w:rsidRPr="00EA070F" w:rsidRDefault="00CB24D0" w:rsidP="00736535">
            <w:pPr>
              <w:spacing w:before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785</w:t>
            </w:r>
          </w:p>
        </w:tc>
        <w:tc>
          <w:tcPr>
            <w:tcW w:w="1166" w:type="dxa"/>
            <w:vAlign w:val="center"/>
          </w:tcPr>
          <w:p w14:paraId="2938C6C1" w14:textId="04F3F6AC" w:rsidR="00CB24D0" w:rsidRPr="00EA070F" w:rsidRDefault="00CB24D0" w:rsidP="008A7C09">
            <w:pPr>
              <w:spacing w:before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1734</w:t>
            </w:r>
          </w:p>
        </w:tc>
        <w:tc>
          <w:tcPr>
            <w:tcW w:w="1166" w:type="dxa"/>
            <w:vAlign w:val="center"/>
          </w:tcPr>
          <w:p w14:paraId="022D9C94" w14:textId="77777777" w:rsidR="00CB24D0" w:rsidRPr="00EA070F" w:rsidRDefault="00CB24D0" w:rsidP="000506E3">
            <w:pPr>
              <w:spacing w:before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45%</w:t>
            </w:r>
          </w:p>
        </w:tc>
        <w:tc>
          <w:tcPr>
            <w:tcW w:w="1166" w:type="dxa"/>
            <w:vAlign w:val="center"/>
          </w:tcPr>
          <w:p w14:paraId="6ACCED91" w14:textId="398043CF" w:rsidR="008A7C09" w:rsidRPr="001C19FC" w:rsidRDefault="00CB24D0" w:rsidP="008A7C09">
            <w:pPr>
              <w:spacing w:before="100" w:before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C19FC">
              <w:rPr>
                <w:rFonts w:eastAsia="Calibri" w:cs="Arial"/>
                <w:sz w:val="20"/>
                <w:szCs w:val="20"/>
              </w:rPr>
              <w:t>124</w:t>
            </w:r>
          </w:p>
        </w:tc>
        <w:tc>
          <w:tcPr>
            <w:tcW w:w="1166" w:type="dxa"/>
            <w:vAlign w:val="center"/>
          </w:tcPr>
          <w:p w14:paraId="53C44306" w14:textId="75217E41" w:rsidR="00CB24D0" w:rsidRPr="001C19FC" w:rsidRDefault="00CB24D0" w:rsidP="008A7C09">
            <w:pPr>
              <w:spacing w:before="100" w:before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C19FC">
              <w:rPr>
                <w:rFonts w:eastAsia="Calibri" w:cs="Arial"/>
                <w:sz w:val="20"/>
                <w:szCs w:val="20"/>
              </w:rPr>
              <w:t>261</w:t>
            </w:r>
          </w:p>
        </w:tc>
        <w:tc>
          <w:tcPr>
            <w:tcW w:w="1166" w:type="dxa"/>
            <w:vAlign w:val="center"/>
          </w:tcPr>
          <w:p w14:paraId="2B4C12E6" w14:textId="77777777" w:rsidR="00CB24D0" w:rsidRPr="001C19FC" w:rsidRDefault="00CB24D0" w:rsidP="000506E3">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C19FC">
              <w:rPr>
                <w:rFonts w:eastAsia="Calibri" w:cs="Arial"/>
                <w:sz w:val="20"/>
                <w:szCs w:val="20"/>
              </w:rPr>
              <w:t>210%</w:t>
            </w:r>
          </w:p>
        </w:tc>
      </w:tr>
      <w:tr w:rsidR="00CB24D0" w:rsidRPr="004A6E23" w14:paraId="06689997" w14:textId="77777777" w:rsidTr="008A7C09">
        <w:trPr>
          <w:jc w:val="center"/>
        </w:trPr>
        <w:tc>
          <w:tcPr>
            <w:cnfStyle w:val="001000000000" w:firstRow="0" w:lastRow="0" w:firstColumn="1" w:lastColumn="0" w:oddVBand="0" w:evenVBand="0" w:oddHBand="0" w:evenHBand="0" w:firstRowFirstColumn="0" w:firstRowLastColumn="0" w:lastRowFirstColumn="0" w:lastRowLastColumn="0"/>
            <w:tcW w:w="1705" w:type="dxa"/>
            <w:vMerge w:val="restart"/>
            <w:shd w:val="clear" w:color="auto" w:fill="D7E2ED" w:themeFill="accent3" w:themeFillTint="33"/>
            <w:vAlign w:val="center"/>
          </w:tcPr>
          <w:p w14:paraId="162B90D1" w14:textId="77777777" w:rsidR="00CB24D0" w:rsidRPr="001C19FC" w:rsidRDefault="00CB24D0" w:rsidP="00F40D97">
            <w:pPr>
              <w:spacing w:beforeAutospacing="1" w:after="200" w:afterAutospacing="1" w:line="276" w:lineRule="auto"/>
              <w:jc w:val="center"/>
              <w:rPr>
                <w:rFonts w:eastAsia="Calibri" w:cs="Arial"/>
                <w:sz w:val="20"/>
                <w:szCs w:val="20"/>
              </w:rPr>
            </w:pPr>
            <w:r w:rsidRPr="001C19FC">
              <w:rPr>
                <w:rFonts w:eastAsia="Calibri" w:cs="Arial"/>
                <w:color w:val="000000"/>
                <w:sz w:val="20"/>
                <w:szCs w:val="20"/>
              </w:rPr>
              <w:t>Increase economic development opportunities</w:t>
            </w:r>
          </w:p>
        </w:tc>
        <w:tc>
          <w:tcPr>
            <w:tcW w:w="1620" w:type="dxa"/>
            <w:vMerge w:val="restart"/>
            <w:vAlign w:val="center"/>
          </w:tcPr>
          <w:p w14:paraId="205F5B8C" w14:textId="77777777" w:rsidR="00CB24D0" w:rsidRPr="001C19FC" w:rsidRDefault="00CB24D0" w:rsidP="00CB24D0">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C19FC">
              <w:rPr>
                <w:rFonts w:eastAsia="Calibri" w:cs="Arial"/>
                <w:color w:val="000000"/>
                <w:sz w:val="20"/>
                <w:szCs w:val="20"/>
              </w:rPr>
              <w:t>Non-Housing Community Development</w:t>
            </w:r>
          </w:p>
        </w:tc>
        <w:tc>
          <w:tcPr>
            <w:tcW w:w="1350" w:type="dxa"/>
            <w:vMerge w:val="restart"/>
            <w:shd w:val="clear" w:color="auto" w:fill="D7E2ED" w:themeFill="accent3" w:themeFillTint="33"/>
            <w:vAlign w:val="center"/>
          </w:tcPr>
          <w:p w14:paraId="0547D77D" w14:textId="77777777" w:rsidR="00CB24D0" w:rsidRPr="001C19FC" w:rsidRDefault="00CB24D0" w:rsidP="0056702A">
            <w:pPr>
              <w:spacing w:beforeAutospacing="1"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C19FC">
              <w:rPr>
                <w:rFonts w:eastAsia="Calibri" w:cs="Arial"/>
                <w:color w:val="000000"/>
                <w:sz w:val="20"/>
                <w:szCs w:val="20"/>
              </w:rPr>
              <w:t>CDBG: $</w:t>
            </w:r>
            <w:r w:rsidRPr="001C19FC">
              <w:rPr>
                <w:rFonts w:eastAsia="Calibri" w:cs="Arial"/>
                <w:b/>
                <w:sz w:val="20"/>
                <w:szCs w:val="20"/>
              </w:rPr>
              <w:t>11,350,398</w:t>
            </w:r>
          </w:p>
        </w:tc>
        <w:tc>
          <w:tcPr>
            <w:tcW w:w="1530" w:type="dxa"/>
            <w:vAlign w:val="center"/>
          </w:tcPr>
          <w:p w14:paraId="302290C8" w14:textId="77777777" w:rsidR="00CB24D0" w:rsidRPr="001C19FC" w:rsidRDefault="00CB24D0"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 w:val="20"/>
                <w:szCs w:val="20"/>
              </w:rPr>
            </w:pPr>
            <w:r w:rsidRPr="001C19FC">
              <w:rPr>
                <w:rFonts w:eastAsia="Calibri" w:cs="Arial"/>
                <w:b/>
                <w:color w:val="000000"/>
                <w:sz w:val="20"/>
                <w:szCs w:val="20"/>
              </w:rPr>
              <w:t>Jobs created/retained</w:t>
            </w:r>
          </w:p>
        </w:tc>
        <w:tc>
          <w:tcPr>
            <w:tcW w:w="1350" w:type="dxa"/>
            <w:vAlign w:val="center"/>
          </w:tcPr>
          <w:p w14:paraId="39190F3D" w14:textId="77777777" w:rsidR="00CB24D0" w:rsidRPr="001C19FC" w:rsidRDefault="00CB24D0"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C19FC">
              <w:rPr>
                <w:rFonts w:eastAsia="Calibri" w:cs="Arial"/>
                <w:color w:val="000000"/>
                <w:sz w:val="20"/>
                <w:szCs w:val="20"/>
              </w:rPr>
              <w:t>Jobs</w:t>
            </w:r>
          </w:p>
        </w:tc>
        <w:tc>
          <w:tcPr>
            <w:tcW w:w="1166" w:type="dxa"/>
            <w:vAlign w:val="center"/>
          </w:tcPr>
          <w:p w14:paraId="116A750C" w14:textId="77777777" w:rsidR="00CB24D0" w:rsidRPr="001C19FC" w:rsidRDefault="00CB24D0" w:rsidP="00BE0740">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1C19FC">
              <w:rPr>
                <w:rFonts w:eastAsia="Calibri" w:cs="Arial"/>
                <w:sz w:val="20"/>
                <w:szCs w:val="20"/>
              </w:rPr>
              <w:t>115,650</w:t>
            </w:r>
          </w:p>
        </w:tc>
        <w:tc>
          <w:tcPr>
            <w:tcW w:w="1166" w:type="dxa"/>
            <w:vAlign w:val="center"/>
          </w:tcPr>
          <w:p w14:paraId="3C1917B0" w14:textId="77777777" w:rsidR="00CB24D0" w:rsidRPr="008A7C09" w:rsidRDefault="00480327" w:rsidP="00BF741A">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A7C09">
              <w:rPr>
                <w:rFonts w:eastAsia="Calibri" w:cs="Arial"/>
                <w:sz w:val="20"/>
                <w:szCs w:val="20"/>
              </w:rPr>
              <w:t>74,115</w:t>
            </w:r>
          </w:p>
        </w:tc>
        <w:tc>
          <w:tcPr>
            <w:tcW w:w="1166" w:type="dxa"/>
            <w:vAlign w:val="center"/>
          </w:tcPr>
          <w:p w14:paraId="29AE9BF9" w14:textId="77777777" w:rsidR="00CB24D0" w:rsidRPr="008A7C09" w:rsidRDefault="001C19FC" w:rsidP="00BF741A">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A7C09">
              <w:rPr>
                <w:rFonts w:eastAsia="Calibri" w:cs="Arial"/>
                <w:sz w:val="20"/>
                <w:szCs w:val="20"/>
              </w:rPr>
              <w:t>61</w:t>
            </w:r>
            <w:r w:rsidR="00CB24D0" w:rsidRPr="008A7C09">
              <w:rPr>
                <w:rFonts w:eastAsia="Calibri" w:cs="Arial"/>
                <w:sz w:val="20"/>
                <w:szCs w:val="20"/>
              </w:rPr>
              <w:t>%</w:t>
            </w:r>
          </w:p>
        </w:tc>
        <w:tc>
          <w:tcPr>
            <w:tcW w:w="1166" w:type="dxa"/>
            <w:vAlign w:val="center"/>
          </w:tcPr>
          <w:p w14:paraId="2AA25B8D" w14:textId="77777777" w:rsidR="00CB24D0" w:rsidRPr="008A7C09" w:rsidRDefault="00CB24D0" w:rsidP="00BF741A">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A7C09">
              <w:rPr>
                <w:rFonts w:eastAsia="Calibri" w:cs="Arial"/>
                <w:sz w:val="20"/>
                <w:szCs w:val="20"/>
              </w:rPr>
              <w:t>269</w:t>
            </w:r>
          </w:p>
        </w:tc>
        <w:tc>
          <w:tcPr>
            <w:tcW w:w="1166" w:type="dxa"/>
            <w:vAlign w:val="center"/>
          </w:tcPr>
          <w:p w14:paraId="319EFDA0" w14:textId="77777777" w:rsidR="00CB24D0" w:rsidRPr="008A7C09" w:rsidRDefault="00480327" w:rsidP="00BF741A">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A7C09">
              <w:rPr>
                <w:rFonts w:eastAsia="Calibri" w:cs="Arial"/>
                <w:sz w:val="20"/>
                <w:szCs w:val="20"/>
              </w:rPr>
              <w:t>14</w:t>
            </w:r>
          </w:p>
        </w:tc>
        <w:tc>
          <w:tcPr>
            <w:tcW w:w="1166" w:type="dxa"/>
            <w:vAlign w:val="center"/>
          </w:tcPr>
          <w:p w14:paraId="3B74AEF4" w14:textId="77777777" w:rsidR="00CB24D0" w:rsidRPr="008A7C09" w:rsidRDefault="001C19FC" w:rsidP="0012420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A7C09">
              <w:rPr>
                <w:rFonts w:eastAsia="Calibri" w:cs="Arial"/>
                <w:sz w:val="20"/>
                <w:szCs w:val="20"/>
              </w:rPr>
              <w:t>5%</w:t>
            </w:r>
          </w:p>
        </w:tc>
      </w:tr>
      <w:tr w:rsidR="00CB24D0" w:rsidRPr="004A6E23" w14:paraId="7DE852DA" w14:textId="77777777" w:rsidTr="008A7C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vMerge/>
          </w:tcPr>
          <w:p w14:paraId="75D8EC40" w14:textId="77777777" w:rsidR="00CB24D0" w:rsidRPr="001C19FC" w:rsidRDefault="00CB24D0" w:rsidP="0012420C">
            <w:pPr>
              <w:spacing w:before="100" w:beforeAutospacing="1" w:after="100" w:afterAutospacing="1" w:line="276" w:lineRule="auto"/>
              <w:rPr>
                <w:rFonts w:eastAsia="Calibri" w:cs="Arial"/>
                <w:sz w:val="20"/>
                <w:szCs w:val="20"/>
              </w:rPr>
            </w:pPr>
          </w:p>
        </w:tc>
        <w:tc>
          <w:tcPr>
            <w:tcW w:w="1620" w:type="dxa"/>
            <w:vMerge/>
          </w:tcPr>
          <w:p w14:paraId="1DEC4E82" w14:textId="77777777" w:rsidR="00CB24D0" w:rsidRPr="001C19FC" w:rsidRDefault="00CB24D0" w:rsidP="004A6E23">
            <w:pPr>
              <w:spacing w:beforeAutospacing="1"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1350" w:type="dxa"/>
            <w:vMerge/>
            <w:vAlign w:val="center"/>
          </w:tcPr>
          <w:p w14:paraId="0D8CA36D" w14:textId="77777777" w:rsidR="00CB24D0" w:rsidRPr="001C19FC" w:rsidRDefault="00CB24D0" w:rsidP="003E6342">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color w:val="000000"/>
                <w:sz w:val="20"/>
                <w:szCs w:val="20"/>
              </w:rPr>
            </w:pPr>
          </w:p>
        </w:tc>
        <w:tc>
          <w:tcPr>
            <w:tcW w:w="1530" w:type="dxa"/>
            <w:vAlign w:val="center"/>
          </w:tcPr>
          <w:p w14:paraId="67664A09" w14:textId="77777777" w:rsidR="00CB24D0" w:rsidRPr="001C19FC" w:rsidRDefault="00CB24D0" w:rsidP="00EA070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b/>
                <w:sz w:val="20"/>
                <w:szCs w:val="20"/>
              </w:rPr>
            </w:pPr>
            <w:r w:rsidRPr="001C19FC">
              <w:rPr>
                <w:rFonts w:eastAsia="Calibri" w:cs="Arial"/>
                <w:b/>
                <w:color w:val="000000"/>
                <w:sz w:val="20"/>
                <w:szCs w:val="20"/>
              </w:rPr>
              <w:t>Businesses assisted</w:t>
            </w:r>
          </w:p>
        </w:tc>
        <w:tc>
          <w:tcPr>
            <w:tcW w:w="1350" w:type="dxa"/>
            <w:vAlign w:val="center"/>
          </w:tcPr>
          <w:p w14:paraId="5A33395F" w14:textId="77777777" w:rsidR="00CB24D0" w:rsidRPr="001C19FC" w:rsidRDefault="00CB24D0" w:rsidP="00EA070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C19FC">
              <w:rPr>
                <w:rFonts w:eastAsia="Calibri" w:cs="Arial"/>
                <w:color w:val="000000"/>
                <w:sz w:val="20"/>
                <w:szCs w:val="20"/>
              </w:rPr>
              <w:t>Businesses Assisted</w:t>
            </w:r>
          </w:p>
        </w:tc>
        <w:tc>
          <w:tcPr>
            <w:tcW w:w="1166" w:type="dxa"/>
            <w:vAlign w:val="center"/>
          </w:tcPr>
          <w:p w14:paraId="7A2CE63F" w14:textId="77777777" w:rsidR="00CB24D0" w:rsidRPr="001C19FC" w:rsidRDefault="00CB24D0" w:rsidP="002D41E6">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B050"/>
                <w:sz w:val="20"/>
                <w:szCs w:val="20"/>
              </w:rPr>
            </w:pPr>
            <w:r w:rsidRPr="001C19FC">
              <w:rPr>
                <w:rFonts w:eastAsia="Calibri" w:cs="Arial"/>
                <w:sz w:val="20"/>
                <w:szCs w:val="20"/>
              </w:rPr>
              <w:t>1000</w:t>
            </w:r>
          </w:p>
        </w:tc>
        <w:tc>
          <w:tcPr>
            <w:tcW w:w="1166" w:type="dxa"/>
            <w:vAlign w:val="center"/>
          </w:tcPr>
          <w:p w14:paraId="2789FEF1" w14:textId="77777777" w:rsidR="00CB24D0" w:rsidRPr="008A7C09" w:rsidRDefault="00480327" w:rsidP="00BF741A">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A7C09">
              <w:rPr>
                <w:rFonts w:eastAsia="Calibri" w:cs="Arial"/>
                <w:sz w:val="20"/>
                <w:szCs w:val="20"/>
              </w:rPr>
              <w:t>17,597</w:t>
            </w:r>
          </w:p>
        </w:tc>
        <w:tc>
          <w:tcPr>
            <w:tcW w:w="1166" w:type="dxa"/>
            <w:vAlign w:val="center"/>
          </w:tcPr>
          <w:p w14:paraId="7406275C" w14:textId="77777777" w:rsidR="00CB24D0" w:rsidRPr="008A7C09" w:rsidRDefault="001C19FC" w:rsidP="00BF741A">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A7C09">
              <w:rPr>
                <w:rFonts w:eastAsia="Calibri" w:cs="Arial"/>
                <w:sz w:val="20"/>
                <w:szCs w:val="20"/>
              </w:rPr>
              <w:t>176</w:t>
            </w:r>
            <w:r w:rsidR="00CB24D0" w:rsidRPr="008A7C09">
              <w:rPr>
                <w:rFonts w:eastAsia="Calibri" w:cs="Arial"/>
                <w:sz w:val="20"/>
                <w:szCs w:val="20"/>
              </w:rPr>
              <w:t>%</w:t>
            </w:r>
          </w:p>
        </w:tc>
        <w:tc>
          <w:tcPr>
            <w:tcW w:w="1166" w:type="dxa"/>
            <w:vAlign w:val="center"/>
          </w:tcPr>
          <w:p w14:paraId="2B20DD06" w14:textId="77777777" w:rsidR="00CB24D0" w:rsidRPr="008A7C09" w:rsidRDefault="00CB24D0" w:rsidP="00736535">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A7C09">
              <w:rPr>
                <w:rFonts w:eastAsia="Calibri" w:cs="Arial"/>
                <w:sz w:val="20"/>
                <w:szCs w:val="20"/>
              </w:rPr>
              <w:t>39</w:t>
            </w:r>
          </w:p>
        </w:tc>
        <w:tc>
          <w:tcPr>
            <w:tcW w:w="1166" w:type="dxa"/>
            <w:vAlign w:val="center"/>
          </w:tcPr>
          <w:p w14:paraId="26CBF889" w14:textId="77777777" w:rsidR="00CB24D0" w:rsidRPr="008A7C09" w:rsidRDefault="00480327" w:rsidP="00BF741A">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8A7C09">
              <w:rPr>
                <w:rFonts w:eastAsia="Calibri" w:cs="Arial"/>
                <w:sz w:val="20"/>
                <w:szCs w:val="20"/>
              </w:rPr>
              <w:t>43</w:t>
            </w:r>
          </w:p>
        </w:tc>
        <w:tc>
          <w:tcPr>
            <w:tcW w:w="1166" w:type="dxa"/>
            <w:vAlign w:val="center"/>
          </w:tcPr>
          <w:p w14:paraId="7A0A72F0" w14:textId="77777777" w:rsidR="00CB24D0" w:rsidRPr="001C19FC" w:rsidRDefault="001C19FC" w:rsidP="0012420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110</w:t>
            </w:r>
            <w:r w:rsidR="00CB24D0" w:rsidRPr="001C19FC">
              <w:rPr>
                <w:rFonts w:eastAsia="Calibri" w:cs="Arial"/>
                <w:sz w:val="20"/>
                <w:szCs w:val="20"/>
              </w:rPr>
              <w:t>%</w:t>
            </w:r>
          </w:p>
        </w:tc>
      </w:tr>
      <w:tr w:rsidR="00EA070F" w:rsidRPr="004A6E23" w14:paraId="4C4FCE8E" w14:textId="77777777" w:rsidTr="008A7C09">
        <w:trPr>
          <w:jc w:val="center"/>
        </w:trPr>
        <w:tc>
          <w:tcPr>
            <w:cnfStyle w:val="001000000000" w:firstRow="0" w:lastRow="0" w:firstColumn="1" w:lastColumn="0" w:oddVBand="0" w:evenVBand="0" w:oddHBand="0" w:evenHBand="0" w:firstRowFirstColumn="0" w:firstRowLastColumn="0" w:lastRowFirstColumn="0" w:lastRowLastColumn="0"/>
            <w:tcW w:w="1705" w:type="dxa"/>
            <w:vMerge w:val="restart"/>
            <w:shd w:val="clear" w:color="auto" w:fill="D7E2ED" w:themeFill="accent3" w:themeFillTint="33"/>
            <w:vAlign w:val="center"/>
          </w:tcPr>
          <w:p w14:paraId="54BF642A" w14:textId="77777777" w:rsidR="00EA070F" w:rsidRPr="00EA070F" w:rsidRDefault="00EA070F" w:rsidP="00EA070F">
            <w:pPr>
              <w:spacing w:beforeAutospacing="1" w:after="200" w:afterAutospacing="1" w:line="276" w:lineRule="auto"/>
              <w:jc w:val="center"/>
              <w:rPr>
                <w:rFonts w:eastAsia="Calibri" w:cs="Arial"/>
                <w:sz w:val="20"/>
                <w:szCs w:val="20"/>
              </w:rPr>
            </w:pPr>
            <w:r w:rsidRPr="00C70BD8">
              <w:rPr>
                <w:rFonts w:eastAsia="Calibri" w:cs="Arial"/>
                <w:color w:val="000000"/>
                <w:sz w:val="20"/>
                <w:szCs w:val="20"/>
              </w:rPr>
              <w:t>Increase the supply of affordable rental housing</w:t>
            </w:r>
          </w:p>
        </w:tc>
        <w:tc>
          <w:tcPr>
            <w:tcW w:w="1620" w:type="dxa"/>
            <w:vMerge w:val="restart"/>
            <w:vAlign w:val="center"/>
          </w:tcPr>
          <w:p w14:paraId="4D72798C"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color w:val="000000"/>
                <w:sz w:val="20"/>
                <w:szCs w:val="20"/>
              </w:rPr>
              <w:t>Affordable Housing</w:t>
            </w:r>
          </w:p>
        </w:tc>
        <w:tc>
          <w:tcPr>
            <w:tcW w:w="1350" w:type="dxa"/>
            <w:vMerge w:val="restart"/>
            <w:shd w:val="clear" w:color="auto" w:fill="D7E2ED" w:themeFill="accent3" w:themeFillTint="33"/>
            <w:vAlign w:val="center"/>
          </w:tcPr>
          <w:p w14:paraId="3BADC4FA" w14:textId="77777777" w:rsidR="00EA070F" w:rsidRPr="00EA070F" w:rsidRDefault="00EA070F" w:rsidP="0056702A">
            <w:pPr>
              <w:spacing w:beforeAutospacing="1"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CDBG: $</w:t>
            </w:r>
            <w:r w:rsidRPr="00EA070F">
              <w:rPr>
                <w:rFonts w:eastAsia="Calibri" w:cs="Arial"/>
                <w:b/>
                <w:sz w:val="20"/>
                <w:szCs w:val="20"/>
              </w:rPr>
              <w:t>3,783,466</w:t>
            </w:r>
          </w:p>
          <w:p w14:paraId="146A91DA" w14:textId="77777777" w:rsidR="00EA070F" w:rsidRPr="00EA070F" w:rsidRDefault="00EA070F" w:rsidP="0056702A">
            <w:pPr>
              <w:spacing w:beforeAutospacing="1"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HOME: $</w:t>
            </w:r>
            <w:r w:rsidRPr="00EA070F">
              <w:rPr>
                <w:rFonts w:eastAsia="Calibri" w:cs="Arial"/>
                <w:b/>
                <w:sz w:val="20"/>
                <w:szCs w:val="20"/>
              </w:rPr>
              <w:t>21,212,492</w:t>
            </w:r>
          </w:p>
          <w:p w14:paraId="576A024E" w14:textId="77777777" w:rsidR="00EA070F" w:rsidRPr="00EA070F" w:rsidRDefault="00EA070F" w:rsidP="0056702A">
            <w:pPr>
              <w:spacing w:beforeAutospacing="1"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color w:val="808080" w:themeColor="background1" w:themeShade="80"/>
                <w:sz w:val="20"/>
                <w:szCs w:val="20"/>
              </w:rPr>
            </w:pPr>
            <w:r w:rsidRPr="00EA070F">
              <w:rPr>
                <w:rFonts w:eastAsia="Calibri" w:cs="Arial"/>
                <w:sz w:val="20"/>
                <w:szCs w:val="20"/>
              </w:rPr>
              <w:t xml:space="preserve">Lead Hazard Control Program: </w:t>
            </w:r>
            <w:r w:rsidRPr="00EA070F">
              <w:rPr>
                <w:rFonts w:eastAsia="Calibri" w:cs="Arial"/>
                <w:b/>
                <w:sz w:val="20"/>
                <w:szCs w:val="20"/>
              </w:rPr>
              <w:t>$2,550,000</w:t>
            </w:r>
          </w:p>
        </w:tc>
        <w:tc>
          <w:tcPr>
            <w:tcW w:w="1530" w:type="dxa"/>
            <w:vAlign w:val="center"/>
          </w:tcPr>
          <w:p w14:paraId="18E74753"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Rental units constructed</w:t>
            </w:r>
          </w:p>
        </w:tc>
        <w:tc>
          <w:tcPr>
            <w:tcW w:w="1350" w:type="dxa"/>
            <w:vAlign w:val="center"/>
          </w:tcPr>
          <w:p w14:paraId="7BA7FE96" w14:textId="77777777" w:rsidR="00EA070F" w:rsidRPr="00EA070F" w:rsidRDefault="00EA070F" w:rsidP="00EA070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color w:val="000000"/>
                <w:sz w:val="20"/>
                <w:szCs w:val="20"/>
              </w:rPr>
              <w:t>Household Housing Unit</w:t>
            </w:r>
          </w:p>
        </w:tc>
        <w:tc>
          <w:tcPr>
            <w:tcW w:w="1166" w:type="dxa"/>
            <w:vAlign w:val="center"/>
          </w:tcPr>
          <w:p w14:paraId="76DEAC9C" w14:textId="77777777" w:rsidR="00EA070F" w:rsidRPr="00EA070F" w:rsidRDefault="00EA070F" w:rsidP="002D41E6">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851</w:t>
            </w:r>
          </w:p>
        </w:tc>
        <w:tc>
          <w:tcPr>
            <w:tcW w:w="1166" w:type="dxa"/>
            <w:vAlign w:val="center"/>
          </w:tcPr>
          <w:p w14:paraId="6C28815E" w14:textId="12925DA5" w:rsidR="00EA070F" w:rsidRPr="00EA070F" w:rsidRDefault="00EA070F" w:rsidP="008A7C09">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6189</w:t>
            </w:r>
          </w:p>
        </w:tc>
        <w:tc>
          <w:tcPr>
            <w:tcW w:w="1166" w:type="dxa"/>
            <w:vAlign w:val="center"/>
          </w:tcPr>
          <w:p w14:paraId="68F7EE2E" w14:textId="77777777" w:rsidR="00EA070F" w:rsidRPr="00EA070F" w:rsidRDefault="00EA070F" w:rsidP="00AD5C45">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727%</w:t>
            </w:r>
          </w:p>
        </w:tc>
        <w:tc>
          <w:tcPr>
            <w:tcW w:w="1166" w:type="dxa"/>
            <w:vAlign w:val="center"/>
          </w:tcPr>
          <w:p w14:paraId="0A793E72" w14:textId="77777777" w:rsidR="00EA070F" w:rsidRPr="00EA070F" w:rsidRDefault="00EA070F" w:rsidP="00AD5C45">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808080" w:themeColor="background1" w:themeShade="80"/>
                <w:sz w:val="20"/>
                <w:szCs w:val="20"/>
              </w:rPr>
            </w:pPr>
            <w:r w:rsidRPr="00EA070F">
              <w:rPr>
                <w:rFonts w:eastAsia="Calibri" w:cs="Arial"/>
                <w:sz w:val="20"/>
                <w:szCs w:val="20"/>
              </w:rPr>
              <w:t>206</w:t>
            </w:r>
          </w:p>
        </w:tc>
        <w:tc>
          <w:tcPr>
            <w:tcW w:w="1166" w:type="dxa"/>
            <w:vAlign w:val="center"/>
          </w:tcPr>
          <w:p w14:paraId="6C7BFD84" w14:textId="18EBA5EA" w:rsidR="00EA070F" w:rsidRPr="00EA070F" w:rsidRDefault="008A7C09" w:rsidP="008A7C09">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808080" w:themeColor="background1" w:themeShade="80"/>
                <w:sz w:val="20"/>
                <w:szCs w:val="20"/>
              </w:rPr>
            </w:pPr>
            <w:r>
              <w:rPr>
                <w:rFonts w:eastAsia="Calibri" w:cs="Arial"/>
                <w:color w:val="6D6D6D" w:themeColor="background2" w:themeShade="80"/>
                <w:sz w:val="20"/>
                <w:szCs w:val="20"/>
              </w:rPr>
              <w:t>337</w:t>
            </w:r>
          </w:p>
        </w:tc>
        <w:tc>
          <w:tcPr>
            <w:tcW w:w="1166" w:type="dxa"/>
            <w:vAlign w:val="center"/>
          </w:tcPr>
          <w:p w14:paraId="6BB9A730" w14:textId="77777777" w:rsidR="00EA070F" w:rsidRPr="00EA070F" w:rsidRDefault="001C19FC" w:rsidP="0012420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Pr>
                <w:rFonts w:eastAsia="Calibri" w:cs="Arial"/>
                <w:sz w:val="20"/>
                <w:szCs w:val="20"/>
              </w:rPr>
              <w:t>165</w:t>
            </w:r>
            <w:r w:rsidR="00EA070F" w:rsidRPr="001C19FC">
              <w:rPr>
                <w:rFonts w:eastAsia="Calibri" w:cs="Arial"/>
                <w:sz w:val="20"/>
                <w:szCs w:val="20"/>
              </w:rPr>
              <w:t>%</w:t>
            </w:r>
          </w:p>
        </w:tc>
      </w:tr>
      <w:tr w:rsidR="00EA070F" w:rsidRPr="004A6E23" w14:paraId="1B06A99D" w14:textId="77777777" w:rsidTr="00DB0D71">
        <w:trPr>
          <w:cnfStyle w:val="000000100000" w:firstRow="0" w:lastRow="0" w:firstColumn="0" w:lastColumn="0" w:oddVBand="0" w:evenVBand="0" w:oddHBand="1" w:evenHBand="0" w:firstRowFirstColumn="0" w:firstRowLastColumn="0" w:lastRowFirstColumn="0" w:lastRowLastColumn="0"/>
          <w:trHeight w:val="1727"/>
          <w:jc w:val="center"/>
        </w:trPr>
        <w:tc>
          <w:tcPr>
            <w:cnfStyle w:val="001000000000" w:firstRow="0" w:lastRow="0" w:firstColumn="1" w:lastColumn="0" w:oddVBand="0" w:evenVBand="0" w:oddHBand="0" w:evenHBand="0" w:firstRowFirstColumn="0" w:firstRowLastColumn="0" w:lastRowFirstColumn="0" w:lastRowLastColumn="0"/>
            <w:tcW w:w="1705" w:type="dxa"/>
            <w:vMerge/>
            <w:vAlign w:val="center"/>
          </w:tcPr>
          <w:p w14:paraId="2CB3E9A4" w14:textId="77777777" w:rsidR="00EA070F" w:rsidRPr="00EA070F" w:rsidRDefault="00EA070F" w:rsidP="00EA070F">
            <w:pPr>
              <w:spacing w:beforeAutospacing="1" w:after="200" w:afterAutospacing="1" w:line="276" w:lineRule="auto"/>
              <w:jc w:val="center"/>
              <w:rPr>
                <w:rFonts w:eastAsia="Calibri" w:cs="Arial"/>
                <w:sz w:val="20"/>
                <w:szCs w:val="20"/>
              </w:rPr>
            </w:pPr>
          </w:p>
        </w:tc>
        <w:tc>
          <w:tcPr>
            <w:tcW w:w="1620" w:type="dxa"/>
            <w:vMerge/>
          </w:tcPr>
          <w:p w14:paraId="0D16FA12" w14:textId="77777777" w:rsidR="00EA070F" w:rsidRPr="00EA070F" w:rsidRDefault="00EA070F" w:rsidP="004A6E23">
            <w:pPr>
              <w:spacing w:beforeAutospacing="1"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1350" w:type="dxa"/>
            <w:vMerge/>
            <w:vAlign w:val="center"/>
          </w:tcPr>
          <w:p w14:paraId="45842E93" w14:textId="77777777" w:rsidR="00EA070F" w:rsidRPr="00EA070F" w:rsidRDefault="00EA070F" w:rsidP="003E6342">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1530" w:type="dxa"/>
            <w:vAlign w:val="center"/>
          </w:tcPr>
          <w:p w14:paraId="7AFB936B" w14:textId="77777777" w:rsidR="00EA070F" w:rsidRPr="00EA070F" w:rsidRDefault="00EA070F" w:rsidP="00EA070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Rental units rehabilitated</w:t>
            </w:r>
          </w:p>
        </w:tc>
        <w:tc>
          <w:tcPr>
            <w:tcW w:w="1350" w:type="dxa"/>
            <w:vAlign w:val="center"/>
          </w:tcPr>
          <w:p w14:paraId="20535DCB" w14:textId="77777777" w:rsidR="00EA070F" w:rsidRPr="00EA070F" w:rsidRDefault="00EA070F" w:rsidP="00EA070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color w:val="000000"/>
                <w:sz w:val="20"/>
                <w:szCs w:val="20"/>
              </w:rPr>
              <w:t>Household Housing Unit</w:t>
            </w:r>
          </w:p>
        </w:tc>
        <w:tc>
          <w:tcPr>
            <w:tcW w:w="1166" w:type="dxa"/>
            <w:vAlign w:val="center"/>
          </w:tcPr>
          <w:p w14:paraId="3941FA35" w14:textId="77777777" w:rsidR="00EA070F" w:rsidRPr="00EA070F" w:rsidRDefault="00EA070F" w:rsidP="00AD5C45">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1612</w:t>
            </w:r>
          </w:p>
        </w:tc>
        <w:tc>
          <w:tcPr>
            <w:tcW w:w="1166" w:type="dxa"/>
            <w:vAlign w:val="center"/>
          </w:tcPr>
          <w:p w14:paraId="15FBBCCB" w14:textId="55568A88" w:rsidR="00EA070F" w:rsidRPr="00EA070F" w:rsidRDefault="00EA070F" w:rsidP="00DB0D71">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10</w:t>
            </w:r>
            <w:r w:rsidR="00DB0D71">
              <w:rPr>
                <w:rFonts w:eastAsia="Calibri" w:cs="Arial"/>
                <w:sz w:val="20"/>
                <w:szCs w:val="20"/>
              </w:rPr>
              <w:t>69</w:t>
            </w:r>
          </w:p>
        </w:tc>
        <w:tc>
          <w:tcPr>
            <w:tcW w:w="1166" w:type="dxa"/>
            <w:vAlign w:val="center"/>
          </w:tcPr>
          <w:p w14:paraId="75868751" w14:textId="489E3E1D" w:rsidR="00EA070F" w:rsidRPr="00EA070F" w:rsidRDefault="00DB0D71" w:rsidP="00AD5C45">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66</w:t>
            </w:r>
            <w:r w:rsidR="00EA070F" w:rsidRPr="00EA070F">
              <w:rPr>
                <w:rFonts w:eastAsia="Calibri" w:cs="Arial"/>
                <w:sz w:val="20"/>
                <w:szCs w:val="20"/>
              </w:rPr>
              <w:t>%</w:t>
            </w:r>
          </w:p>
        </w:tc>
        <w:tc>
          <w:tcPr>
            <w:tcW w:w="1166" w:type="dxa"/>
            <w:vAlign w:val="center"/>
          </w:tcPr>
          <w:p w14:paraId="7F33EEB3" w14:textId="77777777" w:rsidR="00EA070F" w:rsidRPr="00EA070F" w:rsidRDefault="00EA070F" w:rsidP="00760B47">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150</w:t>
            </w:r>
          </w:p>
        </w:tc>
        <w:tc>
          <w:tcPr>
            <w:tcW w:w="1166" w:type="dxa"/>
            <w:vAlign w:val="center"/>
          </w:tcPr>
          <w:p w14:paraId="4FB5221A" w14:textId="53280329" w:rsidR="00EA070F" w:rsidRPr="00EA070F" w:rsidRDefault="00DB0D71" w:rsidP="00DB0D71">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CC66FF"/>
                <w:sz w:val="20"/>
                <w:szCs w:val="20"/>
              </w:rPr>
            </w:pPr>
            <w:r w:rsidRPr="00DB0D71">
              <w:rPr>
                <w:rFonts w:eastAsia="Calibri" w:cs="Arial"/>
                <w:sz w:val="20"/>
                <w:szCs w:val="20"/>
              </w:rPr>
              <w:t>95</w:t>
            </w:r>
          </w:p>
        </w:tc>
        <w:tc>
          <w:tcPr>
            <w:tcW w:w="1166" w:type="dxa"/>
            <w:vAlign w:val="center"/>
          </w:tcPr>
          <w:p w14:paraId="72EA2126" w14:textId="774A1395" w:rsidR="00EA070F" w:rsidRPr="00EA070F" w:rsidRDefault="00DB0D71" w:rsidP="00AD5C4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color w:val="CC66FF"/>
                <w:sz w:val="20"/>
                <w:szCs w:val="20"/>
              </w:rPr>
            </w:pPr>
            <w:r>
              <w:rPr>
                <w:rFonts w:eastAsia="Calibri" w:cs="Arial"/>
                <w:sz w:val="20"/>
                <w:szCs w:val="20"/>
              </w:rPr>
              <w:t>63</w:t>
            </w:r>
            <w:r w:rsidR="00EA070F" w:rsidRPr="00EA070F">
              <w:rPr>
                <w:rFonts w:eastAsia="Calibri" w:cs="Arial"/>
                <w:sz w:val="20"/>
                <w:szCs w:val="20"/>
              </w:rPr>
              <w:t>%</w:t>
            </w:r>
          </w:p>
        </w:tc>
      </w:tr>
      <w:tr w:rsidR="00EA070F" w:rsidRPr="004A6E23" w14:paraId="620AE123" w14:textId="77777777" w:rsidTr="008A7C09">
        <w:trPr>
          <w:jc w:val="center"/>
        </w:trPr>
        <w:tc>
          <w:tcPr>
            <w:cnfStyle w:val="001000000000" w:firstRow="0" w:lastRow="0" w:firstColumn="1" w:lastColumn="0" w:oddVBand="0" w:evenVBand="0" w:oddHBand="0" w:evenHBand="0" w:firstRowFirstColumn="0" w:firstRowLastColumn="0" w:lastRowFirstColumn="0" w:lastRowLastColumn="0"/>
            <w:tcW w:w="1705" w:type="dxa"/>
            <w:vMerge w:val="restart"/>
            <w:shd w:val="clear" w:color="auto" w:fill="D7E2ED" w:themeFill="accent3" w:themeFillTint="33"/>
            <w:vAlign w:val="center"/>
          </w:tcPr>
          <w:p w14:paraId="69A5BAC8" w14:textId="77777777" w:rsidR="00EA070F" w:rsidRPr="00EA070F" w:rsidRDefault="00EA070F" w:rsidP="00EA070F">
            <w:pPr>
              <w:spacing w:beforeAutospacing="1" w:after="200" w:afterAutospacing="1" w:line="276" w:lineRule="auto"/>
              <w:jc w:val="center"/>
              <w:rPr>
                <w:rFonts w:eastAsia="Calibri" w:cs="Arial"/>
                <w:sz w:val="20"/>
                <w:szCs w:val="20"/>
              </w:rPr>
            </w:pPr>
            <w:r w:rsidRPr="00EA070F">
              <w:rPr>
                <w:rFonts w:eastAsia="Calibri" w:cs="Arial"/>
                <w:color w:val="000000"/>
                <w:sz w:val="20"/>
                <w:szCs w:val="20"/>
              </w:rPr>
              <w:lastRenderedPageBreak/>
              <w:t>Maintain or increase public facilities</w:t>
            </w:r>
          </w:p>
        </w:tc>
        <w:tc>
          <w:tcPr>
            <w:tcW w:w="1620" w:type="dxa"/>
            <w:vMerge w:val="restart"/>
            <w:vAlign w:val="center"/>
          </w:tcPr>
          <w:p w14:paraId="15FB8731" w14:textId="77777777" w:rsidR="00EA070F" w:rsidRPr="00EA070F" w:rsidRDefault="00EA070F" w:rsidP="00EA070F">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color w:val="000000"/>
                <w:sz w:val="20"/>
                <w:szCs w:val="20"/>
              </w:rPr>
              <w:t>Non-Housing Community Development</w:t>
            </w:r>
          </w:p>
        </w:tc>
        <w:tc>
          <w:tcPr>
            <w:tcW w:w="1350" w:type="dxa"/>
            <w:vMerge w:val="restart"/>
            <w:shd w:val="clear" w:color="auto" w:fill="D7E2ED" w:themeFill="accent3" w:themeFillTint="33"/>
            <w:vAlign w:val="center"/>
          </w:tcPr>
          <w:p w14:paraId="6D7E11EE" w14:textId="77777777" w:rsidR="00EA070F" w:rsidRPr="00EA070F" w:rsidRDefault="00EA070F" w:rsidP="0056702A">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color w:val="000000"/>
                <w:sz w:val="20"/>
                <w:szCs w:val="20"/>
              </w:rPr>
              <w:t xml:space="preserve">CDBG: $ </w:t>
            </w:r>
            <w:r w:rsidRPr="00EA070F">
              <w:rPr>
                <w:rFonts w:eastAsia="Calibri" w:cs="Arial"/>
                <w:b/>
                <w:sz w:val="20"/>
                <w:szCs w:val="20"/>
              </w:rPr>
              <w:t>$11,350,398</w:t>
            </w:r>
          </w:p>
        </w:tc>
        <w:tc>
          <w:tcPr>
            <w:tcW w:w="1530" w:type="dxa"/>
            <w:vAlign w:val="center"/>
          </w:tcPr>
          <w:p w14:paraId="1882BAF8"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 xml:space="preserve">Public Facility or Infrastructure Activities </w:t>
            </w:r>
            <w:r w:rsidRPr="00EA070F">
              <w:rPr>
                <w:rFonts w:eastAsia="Calibri" w:cs="Arial"/>
                <w:b/>
                <w:color w:val="000000"/>
                <w:sz w:val="20"/>
                <w:szCs w:val="20"/>
                <w:u w:val="single"/>
              </w:rPr>
              <w:t>other than</w:t>
            </w:r>
            <w:r w:rsidRPr="00EA070F">
              <w:rPr>
                <w:rFonts w:eastAsia="Calibri" w:cs="Arial"/>
                <w:b/>
                <w:color w:val="000000"/>
                <w:sz w:val="20"/>
                <w:szCs w:val="20"/>
              </w:rPr>
              <w:t xml:space="preserve"> Low/Moderate Income Housing Benefit</w:t>
            </w:r>
          </w:p>
        </w:tc>
        <w:tc>
          <w:tcPr>
            <w:tcW w:w="1350" w:type="dxa"/>
            <w:vAlign w:val="center"/>
          </w:tcPr>
          <w:p w14:paraId="6A4B77F6"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color w:val="000000"/>
                <w:sz w:val="20"/>
                <w:szCs w:val="20"/>
              </w:rPr>
              <w:t>Persons Assisted</w:t>
            </w:r>
          </w:p>
        </w:tc>
        <w:tc>
          <w:tcPr>
            <w:tcW w:w="1166" w:type="dxa"/>
            <w:vAlign w:val="center"/>
          </w:tcPr>
          <w:p w14:paraId="6C45F739" w14:textId="77777777" w:rsidR="00EA070F" w:rsidRPr="00EA070F" w:rsidRDefault="00EA070F" w:rsidP="002D41E6">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1,446,900</w:t>
            </w:r>
          </w:p>
        </w:tc>
        <w:tc>
          <w:tcPr>
            <w:tcW w:w="1166" w:type="dxa"/>
            <w:vAlign w:val="center"/>
          </w:tcPr>
          <w:p w14:paraId="532A4443" w14:textId="77777777" w:rsidR="00EA070F" w:rsidRPr="00EA070F" w:rsidRDefault="00EA070F" w:rsidP="00AD5C45">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1,442,091</w:t>
            </w:r>
          </w:p>
        </w:tc>
        <w:tc>
          <w:tcPr>
            <w:tcW w:w="1166" w:type="dxa"/>
            <w:vAlign w:val="center"/>
          </w:tcPr>
          <w:p w14:paraId="1789903D" w14:textId="77777777" w:rsidR="00EA070F" w:rsidRPr="00EA070F" w:rsidRDefault="00EA070F" w:rsidP="00AD5C45">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99%</w:t>
            </w:r>
          </w:p>
        </w:tc>
        <w:tc>
          <w:tcPr>
            <w:tcW w:w="1166" w:type="dxa"/>
            <w:vAlign w:val="center"/>
          </w:tcPr>
          <w:p w14:paraId="136F3C18" w14:textId="77777777" w:rsidR="00EA070F" w:rsidRPr="00EA070F" w:rsidRDefault="00EA070F" w:rsidP="00AD5C45">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B050"/>
                <w:sz w:val="20"/>
                <w:szCs w:val="20"/>
              </w:rPr>
            </w:pPr>
            <w:r w:rsidRPr="00EA070F">
              <w:rPr>
                <w:rFonts w:eastAsia="Calibri" w:cs="Arial"/>
                <w:sz w:val="20"/>
                <w:szCs w:val="20"/>
              </w:rPr>
              <w:t>395,145</w:t>
            </w:r>
          </w:p>
        </w:tc>
        <w:tc>
          <w:tcPr>
            <w:tcW w:w="1166" w:type="dxa"/>
            <w:vAlign w:val="center"/>
          </w:tcPr>
          <w:p w14:paraId="2D612695" w14:textId="77777777" w:rsidR="00EA070F" w:rsidRPr="00EA070F" w:rsidRDefault="00EA070F" w:rsidP="00AD5C45">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380,302</w:t>
            </w:r>
          </w:p>
        </w:tc>
        <w:tc>
          <w:tcPr>
            <w:tcW w:w="1166" w:type="dxa"/>
            <w:vAlign w:val="center"/>
          </w:tcPr>
          <w:p w14:paraId="0311EF02" w14:textId="77777777" w:rsidR="00EA070F" w:rsidRPr="00EA070F" w:rsidRDefault="00EA070F" w:rsidP="00AD5C45">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96%</w:t>
            </w:r>
          </w:p>
        </w:tc>
      </w:tr>
      <w:tr w:rsidR="00EA070F" w:rsidRPr="004A6E23" w14:paraId="188D29E0" w14:textId="77777777" w:rsidTr="005670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vMerge/>
          </w:tcPr>
          <w:p w14:paraId="566BEB82" w14:textId="77777777" w:rsidR="00EA070F" w:rsidRPr="00EA070F" w:rsidRDefault="00EA070F" w:rsidP="004A6E23">
            <w:pPr>
              <w:spacing w:beforeAutospacing="1" w:after="200" w:afterAutospacing="1" w:line="276" w:lineRule="auto"/>
              <w:rPr>
                <w:rFonts w:eastAsia="Calibri" w:cs="Arial"/>
                <w:sz w:val="20"/>
                <w:szCs w:val="20"/>
              </w:rPr>
            </w:pPr>
          </w:p>
        </w:tc>
        <w:tc>
          <w:tcPr>
            <w:tcW w:w="1620" w:type="dxa"/>
            <w:vMerge/>
            <w:vAlign w:val="center"/>
          </w:tcPr>
          <w:p w14:paraId="0536CB5F" w14:textId="77777777" w:rsidR="00EA070F" w:rsidRPr="00EA070F" w:rsidRDefault="00EA070F" w:rsidP="00EA070F">
            <w:pPr>
              <w:spacing w:beforeAutospacing="1"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1350" w:type="dxa"/>
            <w:vMerge/>
            <w:vAlign w:val="center"/>
          </w:tcPr>
          <w:p w14:paraId="2224B9A1" w14:textId="77777777" w:rsidR="00EA070F" w:rsidRPr="00EA070F" w:rsidRDefault="00EA070F" w:rsidP="003E6342">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1530" w:type="dxa"/>
            <w:vAlign w:val="center"/>
          </w:tcPr>
          <w:p w14:paraId="75F21F37" w14:textId="77777777" w:rsidR="00EA070F" w:rsidRPr="00EA070F" w:rsidRDefault="00EA070F" w:rsidP="00EA070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b/>
                <w:color w:val="000000"/>
                <w:sz w:val="20"/>
                <w:szCs w:val="20"/>
              </w:rPr>
              <w:t>Public Facility or Infrastructure Activities for Low/Moderate Income</w:t>
            </w:r>
            <w:r w:rsidRPr="00EA070F">
              <w:rPr>
                <w:rFonts w:eastAsia="Calibri" w:cs="Arial"/>
                <w:color w:val="000000"/>
                <w:sz w:val="20"/>
                <w:szCs w:val="20"/>
              </w:rPr>
              <w:t xml:space="preserve"> </w:t>
            </w:r>
            <w:r w:rsidRPr="00EA070F">
              <w:rPr>
                <w:rFonts w:eastAsia="Calibri" w:cs="Arial"/>
                <w:b/>
                <w:color w:val="000000"/>
                <w:sz w:val="20"/>
                <w:szCs w:val="20"/>
              </w:rPr>
              <w:t>Housing Benefit</w:t>
            </w:r>
          </w:p>
        </w:tc>
        <w:tc>
          <w:tcPr>
            <w:tcW w:w="1350" w:type="dxa"/>
            <w:vAlign w:val="center"/>
          </w:tcPr>
          <w:p w14:paraId="64A476FE" w14:textId="77777777" w:rsidR="00EA070F" w:rsidRPr="00EA070F" w:rsidRDefault="00EA070F" w:rsidP="00EA070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color w:val="000000"/>
                <w:sz w:val="20"/>
                <w:szCs w:val="20"/>
              </w:rPr>
              <w:t>Households Assisted</w:t>
            </w:r>
          </w:p>
        </w:tc>
        <w:tc>
          <w:tcPr>
            <w:tcW w:w="1166" w:type="dxa"/>
            <w:vAlign w:val="center"/>
          </w:tcPr>
          <w:p w14:paraId="1475CB6A" w14:textId="77777777" w:rsidR="00EA070F" w:rsidRPr="00EA070F" w:rsidRDefault="00EA070F" w:rsidP="002D41E6">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2,742,050</w:t>
            </w:r>
          </w:p>
        </w:tc>
        <w:tc>
          <w:tcPr>
            <w:tcW w:w="1166" w:type="dxa"/>
            <w:vAlign w:val="center"/>
          </w:tcPr>
          <w:p w14:paraId="06094C85" w14:textId="77777777" w:rsidR="00EA070F" w:rsidRPr="00EA070F" w:rsidRDefault="00EA070F" w:rsidP="00310777">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1,754,957</w:t>
            </w:r>
          </w:p>
        </w:tc>
        <w:tc>
          <w:tcPr>
            <w:tcW w:w="1166" w:type="dxa"/>
            <w:vAlign w:val="center"/>
          </w:tcPr>
          <w:p w14:paraId="2DC947D5" w14:textId="77777777" w:rsidR="00EA070F" w:rsidRPr="00EA070F" w:rsidRDefault="00EA070F" w:rsidP="00310777">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64%</w:t>
            </w:r>
          </w:p>
        </w:tc>
        <w:tc>
          <w:tcPr>
            <w:tcW w:w="1166" w:type="dxa"/>
            <w:vAlign w:val="center"/>
          </w:tcPr>
          <w:p w14:paraId="1DD59517" w14:textId="77777777" w:rsidR="00EA070F" w:rsidRPr="00EA070F" w:rsidRDefault="00EA070F" w:rsidP="00310777">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63</w:t>
            </w:r>
          </w:p>
        </w:tc>
        <w:tc>
          <w:tcPr>
            <w:tcW w:w="1166" w:type="dxa"/>
            <w:vAlign w:val="center"/>
          </w:tcPr>
          <w:p w14:paraId="25C55D9D" w14:textId="77777777" w:rsidR="00EA070F" w:rsidRPr="00EA070F" w:rsidRDefault="00EA070F" w:rsidP="00310777">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20</w:t>
            </w:r>
          </w:p>
        </w:tc>
        <w:tc>
          <w:tcPr>
            <w:tcW w:w="1166" w:type="dxa"/>
            <w:vAlign w:val="center"/>
          </w:tcPr>
          <w:p w14:paraId="1FA503BD" w14:textId="77777777" w:rsidR="00EA070F" w:rsidRPr="00EA070F" w:rsidRDefault="00EA070F" w:rsidP="00310777">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32%</w:t>
            </w:r>
          </w:p>
        </w:tc>
      </w:tr>
      <w:tr w:rsidR="00EA070F" w:rsidRPr="004A6E23" w14:paraId="117D1BE0" w14:textId="77777777" w:rsidTr="008A7C09">
        <w:trPr>
          <w:jc w:val="center"/>
        </w:trPr>
        <w:tc>
          <w:tcPr>
            <w:cnfStyle w:val="001000000000" w:firstRow="0" w:lastRow="0" w:firstColumn="1" w:lastColumn="0" w:oddVBand="0" w:evenVBand="0" w:oddHBand="0" w:evenHBand="0" w:firstRowFirstColumn="0" w:firstRowLastColumn="0" w:lastRowFirstColumn="0" w:lastRowLastColumn="0"/>
            <w:tcW w:w="1705" w:type="dxa"/>
            <w:vMerge w:val="restart"/>
            <w:shd w:val="clear" w:color="auto" w:fill="D7E2ED" w:themeFill="accent3" w:themeFillTint="33"/>
            <w:vAlign w:val="center"/>
          </w:tcPr>
          <w:p w14:paraId="7A8C4366" w14:textId="77777777" w:rsidR="00EA070F" w:rsidRPr="00EA070F" w:rsidRDefault="00EA070F" w:rsidP="00EA070F">
            <w:pPr>
              <w:spacing w:beforeAutospacing="1" w:after="200" w:afterAutospacing="1" w:line="276" w:lineRule="auto"/>
              <w:jc w:val="center"/>
              <w:rPr>
                <w:rFonts w:eastAsia="Calibri" w:cs="Arial"/>
                <w:sz w:val="20"/>
                <w:szCs w:val="20"/>
              </w:rPr>
            </w:pPr>
            <w:r w:rsidRPr="00EA070F">
              <w:rPr>
                <w:rFonts w:eastAsia="Calibri" w:cs="Arial"/>
                <w:color w:val="000000"/>
                <w:sz w:val="20"/>
                <w:szCs w:val="20"/>
              </w:rPr>
              <w:t>Maintain or increase public services</w:t>
            </w:r>
          </w:p>
        </w:tc>
        <w:tc>
          <w:tcPr>
            <w:tcW w:w="1620" w:type="dxa"/>
            <w:vMerge w:val="restart"/>
            <w:vAlign w:val="center"/>
          </w:tcPr>
          <w:p w14:paraId="720295C4" w14:textId="77777777" w:rsidR="00EA070F" w:rsidRPr="00EA070F" w:rsidRDefault="00EA070F" w:rsidP="000437F5">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color w:val="000000"/>
                <w:sz w:val="20"/>
                <w:szCs w:val="20"/>
              </w:rPr>
              <w:t>Non-Housing Community Development</w:t>
            </w:r>
          </w:p>
        </w:tc>
        <w:tc>
          <w:tcPr>
            <w:tcW w:w="1350" w:type="dxa"/>
            <w:vMerge w:val="restart"/>
            <w:shd w:val="clear" w:color="auto" w:fill="D7E2ED" w:themeFill="accent3" w:themeFillTint="33"/>
            <w:vAlign w:val="center"/>
          </w:tcPr>
          <w:p w14:paraId="683867D4" w14:textId="77777777" w:rsidR="00EA070F" w:rsidRPr="00EA070F" w:rsidRDefault="00EA070F" w:rsidP="0056702A">
            <w:pPr>
              <w:spacing w:beforeAutospacing="1"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 xml:space="preserve">CDBG: </w:t>
            </w:r>
            <w:r w:rsidRPr="00EA070F">
              <w:rPr>
                <w:rFonts w:eastAsia="Calibri" w:cs="Arial"/>
                <w:b/>
                <w:sz w:val="20"/>
                <w:szCs w:val="20"/>
              </w:rPr>
              <w:t>$3,783,466</w:t>
            </w:r>
          </w:p>
        </w:tc>
        <w:tc>
          <w:tcPr>
            <w:tcW w:w="1530" w:type="dxa"/>
            <w:vAlign w:val="center"/>
          </w:tcPr>
          <w:p w14:paraId="56F411F2"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 xml:space="preserve">Public service activities </w:t>
            </w:r>
            <w:r w:rsidRPr="00EA070F">
              <w:rPr>
                <w:rFonts w:eastAsia="Calibri" w:cs="Arial"/>
                <w:b/>
                <w:color w:val="000000"/>
                <w:sz w:val="20"/>
                <w:szCs w:val="20"/>
                <w:u w:val="single"/>
              </w:rPr>
              <w:t>other than</w:t>
            </w:r>
            <w:r w:rsidRPr="00EA070F">
              <w:rPr>
                <w:rFonts w:eastAsia="Calibri" w:cs="Arial"/>
                <w:b/>
                <w:color w:val="000000"/>
                <w:sz w:val="20"/>
                <w:szCs w:val="20"/>
              </w:rPr>
              <w:t xml:space="preserve"> Low/Moderate Income Housing Benefit</w:t>
            </w:r>
          </w:p>
        </w:tc>
        <w:tc>
          <w:tcPr>
            <w:tcW w:w="1350" w:type="dxa"/>
            <w:vAlign w:val="center"/>
          </w:tcPr>
          <w:p w14:paraId="6C615A43"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Persons Assisted</w:t>
            </w:r>
          </w:p>
        </w:tc>
        <w:tc>
          <w:tcPr>
            <w:tcW w:w="1166" w:type="dxa"/>
            <w:vAlign w:val="center"/>
          </w:tcPr>
          <w:p w14:paraId="6DD0A503" w14:textId="77777777" w:rsidR="00EA070F" w:rsidRPr="00EA070F" w:rsidRDefault="00EA070F" w:rsidP="002D41E6">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B050"/>
                <w:sz w:val="20"/>
                <w:szCs w:val="20"/>
              </w:rPr>
            </w:pPr>
            <w:r w:rsidRPr="00EA070F">
              <w:rPr>
                <w:rFonts w:eastAsia="Calibri" w:cs="Arial"/>
                <w:sz w:val="20"/>
                <w:szCs w:val="20"/>
              </w:rPr>
              <w:t>680,550</w:t>
            </w:r>
          </w:p>
        </w:tc>
        <w:tc>
          <w:tcPr>
            <w:tcW w:w="1166" w:type="dxa"/>
            <w:vAlign w:val="center"/>
          </w:tcPr>
          <w:p w14:paraId="78575AD9" w14:textId="77777777" w:rsidR="00EA070F" w:rsidRPr="00EA070F" w:rsidRDefault="00EA070F" w:rsidP="00310777">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528,956</w:t>
            </w:r>
          </w:p>
        </w:tc>
        <w:tc>
          <w:tcPr>
            <w:tcW w:w="1166" w:type="dxa"/>
            <w:vAlign w:val="center"/>
          </w:tcPr>
          <w:p w14:paraId="4A45334A" w14:textId="77777777" w:rsidR="00EA070F" w:rsidRPr="00EA070F" w:rsidRDefault="00EA070F" w:rsidP="00310777">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78%</w:t>
            </w:r>
          </w:p>
        </w:tc>
        <w:tc>
          <w:tcPr>
            <w:tcW w:w="1166" w:type="dxa"/>
            <w:vAlign w:val="center"/>
          </w:tcPr>
          <w:p w14:paraId="5BCD6C7B" w14:textId="77777777" w:rsidR="00EA070F" w:rsidRPr="00EA070F" w:rsidRDefault="00EA070F" w:rsidP="00310777">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78,475</w:t>
            </w:r>
          </w:p>
        </w:tc>
        <w:tc>
          <w:tcPr>
            <w:tcW w:w="1166" w:type="dxa"/>
            <w:vAlign w:val="center"/>
          </w:tcPr>
          <w:p w14:paraId="72C79946" w14:textId="77777777" w:rsidR="00EA070F" w:rsidRPr="00EA070F" w:rsidRDefault="00EA070F" w:rsidP="00310777">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75,635</w:t>
            </w:r>
          </w:p>
        </w:tc>
        <w:tc>
          <w:tcPr>
            <w:tcW w:w="1166" w:type="dxa"/>
            <w:vAlign w:val="center"/>
          </w:tcPr>
          <w:p w14:paraId="6E501687" w14:textId="77777777" w:rsidR="00EA070F" w:rsidRPr="00EA070F" w:rsidRDefault="00EA070F" w:rsidP="00310777">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96%</w:t>
            </w:r>
          </w:p>
        </w:tc>
      </w:tr>
      <w:tr w:rsidR="00EA070F" w:rsidRPr="004A6E23" w14:paraId="00828B0B" w14:textId="77777777" w:rsidTr="00B973E5">
        <w:trPr>
          <w:cnfStyle w:val="000000100000" w:firstRow="0" w:lastRow="0" w:firstColumn="0" w:lastColumn="0" w:oddVBand="0" w:evenVBand="0" w:oddHBand="1" w:evenHBand="0" w:firstRowFirstColumn="0" w:firstRowLastColumn="0" w:lastRowFirstColumn="0" w:lastRowLastColumn="0"/>
          <w:trHeight w:val="1673"/>
          <w:jc w:val="center"/>
        </w:trPr>
        <w:tc>
          <w:tcPr>
            <w:cnfStyle w:val="001000000000" w:firstRow="0" w:lastRow="0" w:firstColumn="1" w:lastColumn="0" w:oddVBand="0" w:evenVBand="0" w:oddHBand="0" w:evenHBand="0" w:firstRowFirstColumn="0" w:firstRowLastColumn="0" w:lastRowFirstColumn="0" w:lastRowLastColumn="0"/>
            <w:tcW w:w="1705" w:type="dxa"/>
            <w:vMerge/>
          </w:tcPr>
          <w:p w14:paraId="07A32A55" w14:textId="77777777" w:rsidR="00EA070F" w:rsidRPr="00EA070F" w:rsidRDefault="00EA070F" w:rsidP="004A6E23">
            <w:pPr>
              <w:spacing w:beforeAutospacing="1" w:after="200" w:afterAutospacing="1" w:line="276" w:lineRule="auto"/>
              <w:rPr>
                <w:rFonts w:eastAsia="Calibri" w:cs="Arial"/>
                <w:sz w:val="20"/>
                <w:szCs w:val="20"/>
              </w:rPr>
            </w:pPr>
          </w:p>
        </w:tc>
        <w:tc>
          <w:tcPr>
            <w:tcW w:w="1620" w:type="dxa"/>
            <w:vMerge/>
          </w:tcPr>
          <w:p w14:paraId="199BBD12" w14:textId="77777777" w:rsidR="00EA070F" w:rsidRPr="00EA070F" w:rsidRDefault="00EA070F" w:rsidP="004A6E23">
            <w:pPr>
              <w:spacing w:beforeAutospacing="1"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1350" w:type="dxa"/>
            <w:vMerge/>
            <w:vAlign w:val="center"/>
          </w:tcPr>
          <w:p w14:paraId="06B12C3E" w14:textId="77777777" w:rsidR="00EA070F" w:rsidRPr="00EA070F" w:rsidRDefault="00EA070F" w:rsidP="003E6342">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1530" w:type="dxa"/>
            <w:vAlign w:val="center"/>
          </w:tcPr>
          <w:p w14:paraId="55FAEBB0" w14:textId="77777777" w:rsidR="00EA070F" w:rsidRPr="00EA070F" w:rsidRDefault="00EA070F" w:rsidP="00EA070F">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Public service activities for Low/Moderate Income Housing Benefit</w:t>
            </w:r>
          </w:p>
        </w:tc>
        <w:tc>
          <w:tcPr>
            <w:tcW w:w="1350" w:type="dxa"/>
            <w:vAlign w:val="center"/>
          </w:tcPr>
          <w:p w14:paraId="16309C60" w14:textId="77777777" w:rsidR="00EA070F" w:rsidRPr="00EA070F" w:rsidRDefault="00EA070F" w:rsidP="00EA070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Households Assisted</w:t>
            </w:r>
          </w:p>
        </w:tc>
        <w:tc>
          <w:tcPr>
            <w:tcW w:w="1166" w:type="dxa"/>
            <w:vAlign w:val="center"/>
          </w:tcPr>
          <w:p w14:paraId="61EBD5C1" w14:textId="77777777" w:rsidR="00EA070F" w:rsidRPr="00EA070F" w:rsidRDefault="00EA070F" w:rsidP="002D41E6">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B050"/>
                <w:sz w:val="20"/>
                <w:szCs w:val="20"/>
              </w:rPr>
            </w:pPr>
            <w:r w:rsidRPr="00EA070F">
              <w:rPr>
                <w:rFonts w:eastAsia="Calibri" w:cs="Arial"/>
                <w:sz w:val="20"/>
                <w:szCs w:val="20"/>
              </w:rPr>
              <w:t>77</w:t>
            </w:r>
          </w:p>
        </w:tc>
        <w:tc>
          <w:tcPr>
            <w:tcW w:w="1166" w:type="dxa"/>
            <w:vAlign w:val="center"/>
          </w:tcPr>
          <w:p w14:paraId="2F7446E0" w14:textId="77777777" w:rsidR="00EA070F" w:rsidRPr="00EA070F" w:rsidRDefault="00EA070F" w:rsidP="004E3B02">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49</w:t>
            </w:r>
          </w:p>
        </w:tc>
        <w:tc>
          <w:tcPr>
            <w:tcW w:w="1166" w:type="dxa"/>
            <w:vAlign w:val="center"/>
          </w:tcPr>
          <w:p w14:paraId="1ACFB939" w14:textId="77777777" w:rsidR="00EA070F" w:rsidRPr="00EA070F" w:rsidRDefault="00EA070F" w:rsidP="004E3B02">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64%</w:t>
            </w:r>
          </w:p>
        </w:tc>
        <w:tc>
          <w:tcPr>
            <w:tcW w:w="1166" w:type="dxa"/>
            <w:vAlign w:val="center"/>
          </w:tcPr>
          <w:p w14:paraId="2E017BE0" w14:textId="77777777" w:rsidR="00EA070F" w:rsidRPr="00EA070F" w:rsidRDefault="00EA070F" w:rsidP="004E3B02">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11</w:t>
            </w:r>
          </w:p>
        </w:tc>
        <w:tc>
          <w:tcPr>
            <w:tcW w:w="1166" w:type="dxa"/>
            <w:vAlign w:val="center"/>
          </w:tcPr>
          <w:p w14:paraId="09FA14BF" w14:textId="77777777" w:rsidR="00EA070F" w:rsidRPr="00EA070F" w:rsidRDefault="00EA070F" w:rsidP="004E3B02">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0</w:t>
            </w:r>
          </w:p>
        </w:tc>
        <w:tc>
          <w:tcPr>
            <w:tcW w:w="1166" w:type="dxa"/>
            <w:vAlign w:val="center"/>
          </w:tcPr>
          <w:p w14:paraId="59FAAB18" w14:textId="77777777" w:rsidR="00EA070F" w:rsidRPr="00EA070F" w:rsidRDefault="00EA070F" w:rsidP="004E3B02">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0%</w:t>
            </w:r>
          </w:p>
        </w:tc>
      </w:tr>
      <w:tr w:rsidR="00EA070F" w:rsidRPr="004A6E23" w14:paraId="2FA1E9FF" w14:textId="77777777" w:rsidTr="00432E3E">
        <w:trPr>
          <w:jc w:val="center"/>
        </w:trPr>
        <w:tc>
          <w:tcPr>
            <w:cnfStyle w:val="001000000000" w:firstRow="0" w:lastRow="0" w:firstColumn="1" w:lastColumn="0" w:oddVBand="0" w:evenVBand="0" w:oddHBand="0" w:evenHBand="0" w:firstRowFirstColumn="0" w:firstRowLastColumn="0" w:lastRowFirstColumn="0" w:lastRowLastColumn="0"/>
            <w:tcW w:w="1705" w:type="dxa"/>
            <w:vMerge w:val="restart"/>
            <w:shd w:val="clear" w:color="auto" w:fill="D7E2ED" w:themeFill="accent3" w:themeFillTint="33"/>
            <w:vAlign w:val="center"/>
          </w:tcPr>
          <w:p w14:paraId="2B1CD7E0" w14:textId="77777777" w:rsidR="00EA070F" w:rsidRPr="00EA070F" w:rsidRDefault="00EA070F" w:rsidP="00EA070F">
            <w:pPr>
              <w:spacing w:beforeAutospacing="1" w:after="200" w:afterAutospacing="1" w:line="276" w:lineRule="auto"/>
              <w:jc w:val="center"/>
              <w:rPr>
                <w:rFonts w:eastAsia="Calibri" w:cs="Arial"/>
                <w:sz w:val="20"/>
                <w:szCs w:val="20"/>
              </w:rPr>
            </w:pPr>
            <w:r w:rsidRPr="00C70BD8">
              <w:rPr>
                <w:rFonts w:eastAsia="Calibri" w:cs="Arial"/>
                <w:color w:val="000000"/>
                <w:sz w:val="20"/>
                <w:szCs w:val="20"/>
              </w:rPr>
              <w:t>Provide homeless assistance &amp; prevention services</w:t>
            </w:r>
          </w:p>
        </w:tc>
        <w:tc>
          <w:tcPr>
            <w:tcW w:w="1620" w:type="dxa"/>
            <w:vMerge w:val="restart"/>
            <w:vAlign w:val="center"/>
          </w:tcPr>
          <w:p w14:paraId="0C926CAB"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color w:val="000000"/>
                <w:sz w:val="20"/>
                <w:szCs w:val="20"/>
              </w:rPr>
              <w:t>Homeless</w:t>
            </w:r>
          </w:p>
        </w:tc>
        <w:tc>
          <w:tcPr>
            <w:tcW w:w="1350" w:type="dxa"/>
            <w:vMerge w:val="restart"/>
            <w:shd w:val="clear" w:color="auto" w:fill="D7E2ED" w:themeFill="accent3" w:themeFillTint="33"/>
            <w:vAlign w:val="center"/>
          </w:tcPr>
          <w:p w14:paraId="685F9540" w14:textId="77777777" w:rsidR="00EA070F" w:rsidRPr="008A7C09" w:rsidRDefault="00EA070F" w:rsidP="0056702A">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A7C09">
              <w:rPr>
                <w:rFonts w:eastAsia="Calibri" w:cs="Arial"/>
                <w:sz w:val="20"/>
                <w:szCs w:val="20"/>
              </w:rPr>
              <w:t xml:space="preserve">HOPWA: $ </w:t>
            </w:r>
            <w:r w:rsidRPr="0089054F">
              <w:rPr>
                <w:rFonts w:eastAsia="Calibri" w:cs="Arial"/>
                <w:b/>
                <w:sz w:val="20"/>
                <w:szCs w:val="20"/>
              </w:rPr>
              <w:t>2,921,564</w:t>
            </w:r>
            <w:r w:rsidRPr="008A7C09">
              <w:rPr>
                <w:rFonts w:eastAsia="Calibri" w:cs="Arial"/>
                <w:sz w:val="20"/>
                <w:szCs w:val="20"/>
              </w:rPr>
              <w:t xml:space="preserve"> </w:t>
            </w:r>
            <w:r w:rsidRPr="008A7C09">
              <w:rPr>
                <w:rFonts w:eastAsia="Calibri" w:cs="Arial"/>
                <w:sz w:val="20"/>
                <w:szCs w:val="20"/>
              </w:rPr>
              <w:lastRenderedPageBreak/>
              <w:t>HOME: $</w:t>
            </w:r>
            <w:r w:rsidRPr="008A7C09">
              <w:rPr>
                <w:rFonts w:eastAsia="Calibri" w:cs="Arial"/>
                <w:b/>
                <w:sz w:val="20"/>
                <w:szCs w:val="20"/>
              </w:rPr>
              <w:t>3,856,817</w:t>
            </w:r>
          </w:p>
          <w:p w14:paraId="35EDB87E" w14:textId="77777777" w:rsidR="00EA070F" w:rsidRPr="008A7C09" w:rsidRDefault="00EA070F" w:rsidP="0056702A">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8A7C09">
              <w:rPr>
                <w:rFonts w:eastAsia="Calibri" w:cs="Arial"/>
                <w:sz w:val="20"/>
                <w:szCs w:val="20"/>
              </w:rPr>
              <w:t>ESG: $</w:t>
            </w:r>
            <w:r w:rsidRPr="008A7C09">
              <w:rPr>
                <w:rFonts w:eastAsia="Calibri" w:cs="Arial"/>
                <w:b/>
                <w:sz w:val="20"/>
                <w:szCs w:val="20"/>
              </w:rPr>
              <w:t>23,478,901</w:t>
            </w:r>
          </w:p>
          <w:p w14:paraId="4855C8F6" w14:textId="77777777" w:rsidR="00EA070F" w:rsidRPr="00EA070F" w:rsidRDefault="00EA070F" w:rsidP="0056702A">
            <w:pPr>
              <w:spacing w:beforeAutospacing="1"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1530" w:type="dxa"/>
            <w:vAlign w:val="center"/>
          </w:tcPr>
          <w:p w14:paraId="1E0B6919"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lastRenderedPageBreak/>
              <w:t>Tenant-based rental assistance / Rapid Rehousing</w:t>
            </w:r>
          </w:p>
        </w:tc>
        <w:tc>
          <w:tcPr>
            <w:tcW w:w="1350" w:type="dxa"/>
            <w:vAlign w:val="center"/>
          </w:tcPr>
          <w:p w14:paraId="36CBB4DB"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Households Assisted</w:t>
            </w:r>
          </w:p>
        </w:tc>
        <w:tc>
          <w:tcPr>
            <w:tcW w:w="1166" w:type="dxa"/>
            <w:vAlign w:val="center"/>
          </w:tcPr>
          <w:p w14:paraId="1EFA68AD" w14:textId="77777777" w:rsidR="00EA070F" w:rsidRPr="00EA070F" w:rsidRDefault="00EA070F" w:rsidP="00432E3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16,424</w:t>
            </w:r>
          </w:p>
        </w:tc>
        <w:tc>
          <w:tcPr>
            <w:tcW w:w="1166" w:type="dxa"/>
            <w:vAlign w:val="center"/>
          </w:tcPr>
          <w:p w14:paraId="0D1BEB7F" w14:textId="32707874" w:rsidR="00EA070F" w:rsidRPr="00EA070F" w:rsidRDefault="00432E3E" w:rsidP="00432E3E">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8</w:t>
            </w:r>
            <w:r w:rsidR="002213F1">
              <w:rPr>
                <w:rFonts w:eastAsia="Calibri" w:cs="Arial"/>
                <w:sz w:val="20"/>
                <w:szCs w:val="20"/>
              </w:rPr>
              <w:t>,</w:t>
            </w:r>
            <w:r>
              <w:rPr>
                <w:rFonts w:eastAsia="Calibri" w:cs="Arial"/>
                <w:sz w:val="20"/>
                <w:szCs w:val="20"/>
              </w:rPr>
              <w:t>752</w:t>
            </w:r>
          </w:p>
        </w:tc>
        <w:tc>
          <w:tcPr>
            <w:tcW w:w="1166" w:type="dxa"/>
            <w:vAlign w:val="center"/>
          </w:tcPr>
          <w:p w14:paraId="46A3783A" w14:textId="19D9227B" w:rsidR="00760B47" w:rsidRPr="00EA070F" w:rsidRDefault="00B973E5" w:rsidP="00913F7D">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53</w:t>
            </w:r>
            <w:r w:rsidR="00EA070F" w:rsidRPr="00EA070F">
              <w:rPr>
                <w:rFonts w:eastAsia="Calibri" w:cs="Arial"/>
                <w:sz w:val="20"/>
                <w:szCs w:val="20"/>
              </w:rPr>
              <w:t>%</w:t>
            </w:r>
          </w:p>
        </w:tc>
        <w:tc>
          <w:tcPr>
            <w:tcW w:w="1166" w:type="dxa"/>
            <w:vAlign w:val="center"/>
          </w:tcPr>
          <w:p w14:paraId="0848277C" w14:textId="6B0D9189" w:rsidR="00EA070F" w:rsidRPr="00EA070F" w:rsidRDefault="00913F7D" w:rsidP="00913F7D">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FF33CC"/>
                <w:sz w:val="20"/>
                <w:szCs w:val="20"/>
              </w:rPr>
            </w:pPr>
            <w:r w:rsidRPr="00913F7D">
              <w:rPr>
                <w:rFonts w:eastAsia="Calibri" w:cs="Arial"/>
                <w:sz w:val="20"/>
                <w:szCs w:val="20"/>
              </w:rPr>
              <w:t>884</w:t>
            </w:r>
          </w:p>
        </w:tc>
        <w:tc>
          <w:tcPr>
            <w:tcW w:w="1166" w:type="dxa"/>
            <w:vAlign w:val="center"/>
          </w:tcPr>
          <w:p w14:paraId="2737DF82" w14:textId="50DC1203" w:rsidR="00EA070F" w:rsidRPr="00EA070F" w:rsidRDefault="00EA070F" w:rsidP="00432E3E">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2</w:t>
            </w:r>
            <w:r w:rsidR="002213F1">
              <w:rPr>
                <w:rFonts w:eastAsia="Calibri" w:cs="Arial"/>
                <w:sz w:val="20"/>
                <w:szCs w:val="20"/>
              </w:rPr>
              <w:t>,</w:t>
            </w:r>
            <w:r w:rsidRPr="00EA070F">
              <w:rPr>
                <w:rFonts w:eastAsia="Calibri" w:cs="Arial"/>
                <w:sz w:val="20"/>
                <w:szCs w:val="20"/>
              </w:rPr>
              <w:t>771</w:t>
            </w:r>
          </w:p>
        </w:tc>
        <w:tc>
          <w:tcPr>
            <w:tcW w:w="1166" w:type="dxa"/>
            <w:vAlign w:val="center"/>
          </w:tcPr>
          <w:p w14:paraId="76297607" w14:textId="77777777" w:rsidR="00EA070F" w:rsidRPr="00EA070F" w:rsidRDefault="00EA070F" w:rsidP="00A7543B">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color w:val="FF33CC"/>
                <w:sz w:val="20"/>
                <w:szCs w:val="20"/>
              </w:rPr>
            </w:pPr>
            <w:r w:rsidRPr="00EA070F">
              <w:rPr>
                <w:rFonts w:eastAsia="Calibri" w:cs="Arial"/>
                <w:sz w:val="20"/>
                <w:szCs w:val="20"/>
              </w:rPr>
              <w:t>313%</w:t>
            </w:r>
          </w:p>
        </w:tc>
      </w:tr>
      <w:tr w:rsidR="00EA070F" w:rsidRPr="00925690" w14:paraId="3545600C" w14:textId="77777777" w:rsidTr="00432E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vMerge/>
          </w:tcPr>
          <w:p w14:paraId="719AB46D" w14:textId="77777777" w:rsidR="00EA070F" w:rsidRPr="00EA070F" w:rsidRDefault="00EA070F" w:rsidP="00925690">
            <w:pPr>
              <w:spacing w:beforeAutospacing="1" w:after="200" w:afterAutospacing="1" w:line="276" w:lineRule="auto"/>
              <w:rPr>
                <w:rFonts w:eastAsia="Calibri" w:cs="Arial"/>
                <w:sz w:val="20"/>
                <w:szCs w:val="20"/>
              </w:rPr>
            </w:pPr>
          </w:p>
        </w:tc>
        <w:tc>
          <w:tcPr>
            <w:tcW w:w="1620" w:type="dxa"/>
            <w:vMerge/>
            <w:vAlign w:val="center"/>
          </w:tcPr>
          <w:p w14:paraId="57089CCD" w14:textId="77777777" w:rsidR="00EA070F" w:rsidRPr="00EA070F" w:rsidRDefault="00EA070F" w:rsidP="00EA070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1350" w:type="dxa"/>
            <w:vMerge/>
            <w:vAlign w:val="center"/>
          </w:tcPr>
          <w:p w14:paraId="00745133" w14:textId="77777777" w:rsidR="00EA070F" w:rsidRPr="00EA070F" w:rsidRDefault="00EA070F" w:rsidP="0056702A">
            <w:pPr>
              <w:spacing w:beforeAutospacing="1"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tc>
        <w:tc>
          <w:tcPr>
            <w:tcW w:w="1530" w:type="dxa"/>
            <w:vAlign w:val="center"/>
          </w:tcPr>
          <w:p w14:paraId="095BB426" w14:textId="77777777" w:rsidR="00EA070F" w:rsidRPr="00EA070F" w:rsidRDefault="00EA070F" w:rsidP="00EA070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Homeless Person Overnight Shelter</w:t>
            </w:r>
          </w:p>
        </w:tc>
        <w:tc>
          <w:tcPr>
            <w:tcW w:w="1350" w:type="dxa"/>
            <w:vAlign w:val="center"/>
          </w:tcPr>
          <w:p w14:paraId="1E1AC623" w14:textId="77777777" w:rsidR="00EA070F" w:rsidRPr="00EA070F" w:rsidRDefault="00EA070F" w:rsidP="00EA070F">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Persons Assisted</w:t>
            </w:r>
          </w:p>
        </w:tc>
        <w:tc>
          <w:tcPr>
            <w:tcW w:w="1166" w:type="dxa"/>
            <w:vAlign w:val="center"/>
          </w:tcPr>
          <w:p w14:paraId="1791E5CC" w14:textId="4B6A2F08" w:rsidR="00760B47" w:rsidRPr="00EA070F" w:rsidRDefault="00EA070F" w:rsidP="00432E3E">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66,515</w:t>
            </w:r>
          </w:p>
        </w:tc>
        <w:tc>
          <w:tcPr>
            <w:tcW w:w="1166" w:type="dxa"/>
            <w:vAlign w:val="center"/>
          </w:tcPr>
          <w:p w14:paraId="68182B35" w14:textId="70A68140" w:rsidR="00A7543B" w:rsidRPr="00432E3E" w:rsidRDefault="00432E3E" w:rsidP="00432E3E">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41,600</w:t>
            </w:r>
          </w:p>
        </w:tc>
        <w:tc>
          <w:tcPr>
            <w:tcW w:w="1166" w:type="dxa"/>
            <w:vAlign w:val="center"/>
          </w:tcPr>
          <w:p w14:paraId="56E00E6F" w14:textId="35C587A1" w:rsidR="00EA070F" w:rsidRPr="00EA070F" w:rsidRDefault="002213F1" w:rsidP="00432E3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63</w:t>
            </w:r>
            <w:r w:rsidR="00EA070F" w:rsidRPr="00EA070F">
              <w:rPr>
                <w:rFonts w:eastAsia="Calibri" w:cs="Arial"/>
                <w:sz w:val="20"/>
                <w:szCs w:val="20"/>
              </w:rPr>
              <w:t>%</w:t>
            </w:r>
          </w:p>
        </w:tc>
        <w:tc>
          <w:tcPr>
            <w:tcW w:w="1166" w:type="dxa"/>
            <w:vAlign w:val="center"/>
          </w:tcPr>
          <w:p w14:paraId="732F3BEA" w14:textId="64C41E68" w:rsidR="00EA070F" w:rsidRPr="00EA070F" w:rsidRDefault="00EA070F" w:rsidP="00A7543B">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sz w:val="20"/>
                <w:szCs w:val="20"/>
              </w:rPr>
              <w:t>11</w:t>
            </w:r>
            <w:r w:rsidR="002213F1">
              <w:rPr>
                <w:rFonts w:eastAsia="Calibri" w:cs="Arial"/>
                <w:sz w:val="20"/>
                <w:szCs w:val="20"/>
              </w:rPr>
              <w:t>,</w:t>
            </w:r>
            <w:r w:rsidRPr="00EA070F">
              <w:rPr>
                <w:rFonts w:eastAsia="Calibri" w:cs="Arial"/>
                <w:sz w:val="20"/>
                <w:szCs w:val="20"/>
              </w:rPr>
              <w:t>657</w:t>
            </w:r>
          </w:p>
        </w:tc>
        <w:tc>
          <w:tcPr>
            <w:tcW w:w="1166" w:type="dxa"/>
            <w:vAlign w:val="center"/>
          </w:tcPr>
          <w:p w14:paraId="00E65265" w14:textId="1795F14D" w:rsidR="00EA070F" w:rsidRPr="00EA070F" w:rsidRDefault="001C19FC" w:rsidP="00A7543B">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w:t>
            </w:r>
            <w:r w:rsidR="002213F1">
              <w:rPr>
                <w:rFonts w:eastAsia="Calibri" w:cs="Arial"/>
                <w:sz w:val="20"/>
                <w:szCs w:val="20"/>
              </w:rPr>
              <w:t>,</w:t>
            </w:r>
            <w:r>
              <w:rPr>
                <w:rFonts w:eastAsia="Calibri" w:cs="Arial"/>
                <w:sz w:val="20"/>
                <w:szCs w:val="20"/>
              </w:rPr>
              <w:t>406</w:t>
            </w:r>
          </w:p>
        </w:tc>
        <w:tc>
          <w:tcPr>
            <w:tcW w:w="1166" w:type="dxa"/>
            <w:vAlign w:val="center"/>
          </w:tcPr>
          <w:p w14:paraId="1D753A2C" w14:textId="77777777" w:rsidR="00EA070F" w:rsidRPr="00EA070F" w:rsidRDefault="001C19FC" w:rsidP="00A7543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12</w:t>
            </w:r>
            <w:r w:rsidR="00EA070F" w:rsidRPr="00EA070F">
              <w:rPr>
                <w:rFonts w:eastAsia="Calibri" w:cs="Arial"/>
                <w:sz w:val="20"/>
                <w:szCs w:val="20"/>
              </w:rPr>
              <w:t>%</w:t>
            </w:r>
          </w:p>
        </w:tc>
      </w:tr>
      <w:tr w:rsidR="00EA070F" w:rsidRPr="00925690" w14:paraId="6DEDD6CC" w14:textId="77777777" w:rsidTr="002213F1">
        <w:trPr>
          <w:jc w:val="center"/>
        </w:trPr>
        <w:tc>
          <w:tcPr>
            <w:cnfStyle w:val="001000000000" w:firstRow="0" w:lastRow="0" w:firstColumn="1" w:lastColumn="0" w:oddVBand="0" w:evenVBand="0" w:oddHBand="0" w:evenHBand="0" w:firstRowFirstColumn="0" w:firstRowLastColumn="0" w:lastRowFirstColumn="0" w:lastRowLastColumn="0"/>
            <w:tcW w:w="1705" w:type="dxa"/>
            <w:vMerge/>
            <w:shd w:val="clear" w:color="auto" w:fill="D7E2ED" w:themeFill="accent3" w:themeFillTint="33"/>
          </w:tcPr>
          <w:p w14:paraId="41827514" w14:textId="77777777" w:rsidR="00EA070F" w:rsidRPr="00EA070F" w:rsidRDefault="00EA070F" w:rsidP="00925690">
            <w:pPr>
              <w:spacing w:beforeAutospacing="1" w:after="200" w:afterAutospacing="1" w:line="276" w:lineRule="auto"/>
              <w:rPr>
                <w:rFonts w:eastAsia="Calibri" w:cs="Arial"/>
                <w:sz w:val="20"/>
                <w:szCs w:val="20"/>
              </w:rPr>
            </w:pPr>
          </w:p>
        </w:tc>
        <w:tc>
          <w:tcPr>
            <w:tcW w:w="1620" w:type="dxa"/>
            <w:vMerge/>
            <w:vAlign w:val="center"/>
          </w:tcPr>
          <w:p w14:paraId="44D251C0"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1350" w:type="dxa"/>
            <w:vMerge/>
            <w:shd w:val="clear" w:color="auto" w:fill="D7E2ED" w:themeFill="accent3" w:themeFillTint="33"/>
            <w:vAlign w:val="center"/>
          </w:tcPr>
          <w:p w14:paraId="53970DDD" w14:textId="77777777" w:rsidR="00EA070F" w:rsidRPr="00EA070F" w:rsidRDefault="00EA070F" w:rsidP="0056702A">
            <w:pPr>
              <w:spacing w:beforeAutospacing="1"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color w:val="66FFFF"/>
                <w:sz w:val="20"/>
                <w:szCs w:val="20"/>
              </w:rPr>
            </w:pPr>
          </w:p>
        </w:tc>
        <w:tc>
          <w:tcPr>
            <w:tcW w:w="1530" w:type="dxa"/>
            <w:vAlign w:val="center"/>
          </w:tcPr>
          <w:p w14:paraId="64FBAC54"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Homeless</w:t>
            </w:r>
            <w:r>
              <w:rPr>
                <w:rFonts w:eastAsia="Calibri" w:cs="Arial"/>
                <w:b/>
                <w:color w:val="000000"/>
                <w:sz w:val="20"/>
                <w:szCs w:val="20"/>
              </w:rPr>
              <w:t>-</w:t>
            </w:r>
            <w:r w:rsidRPr="00EA070F">
              <w:rPr>
                <w:rFonts w:eastAsia="Calibri" w:cs="Arial"/>
                <w:b/>
                <w:color w:val="000000"/>
                <w:sz w:val="20"/>
                <w:szCs w:val="20"/>
              </w:rPr>
              <w:t>ness Prevention</w:t>
            </w:r>
          </w:p>
        </w:tc>
        <w:tc>
          <w:tcPr>
            <w:tcW w:w="1350" w:type="dxa"/>
            <w:vAlign w:val="center"/>
          </w:tcPr>
          <w:p w14:paraId="260EF293" w14:textId="77777777" w:rsidR="00EA070F" w:rsidRPr="00EA070F" w:rsidRDefault="00EA070F" w:rsidP="00EA070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b/>
                <w:sz w:val="20"/>
                <w:szCs w:val="20"/>
              </w:rPr>
            </w:pPr>
            <w:r w:rsidRPr="00EA070F">
              <w:rPr>
                <w:rFonts w:eastAsia="Calibri" w:cs="Arial"/>
                <w:b/>
                <w:color w:val="000000"/>
                <w:sz w:val="20"/>
                <w:szCs w:val="20"/>
              </w:rPr>
              <w:t>Persons Assisted</w:t>
            </w:r>
          </w:p>
        </w:tc>
        <w:tc>
          <w:tcPr>
            <w:tcW w:w="1166" w:type="dxa"/>
            <w:vAlign w:val="center"/>
          </w:tcPr>
          <w:p w14:paraId="267CC600" w14:textId="77777777" w:rsidR="00EA070F" w:rsidRPr="00EA070F" w:rsidRDefault="00EA070F" w:rsidP="00C70BD8">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EA070F">
              <w:rPr>
                <w:rFonts w:eastAsia="Calibri" w:cs="Arial"/>
                <w:sz w:val="20"/>
                <w:szCs w:val="20"/>
              </w:rPr>
              <w:t>19,200</w:t>
            </w:r>
          </w:p>
        </w:tc>
        <w:tc>
          <w:tcPr>
            <w:tcW w:w="1166" w:type="dxa"/>
            <w:vAlign w:val="center"/>
          </w:tcPr>
          <w:p w14:paraId="48C14A7C" w14:textId="4C59E414" w:rsidR="00EA070F" w:rsidRPr="00EA070F" w:rsidRDefault="002213F1" w:rsidP="002213F1">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5,774</w:t>
            </w:r>
          </w:p>
        </w:tc>
        <w:tc>
          <w:tcPr>
            <w:tcW w:w="1166" w:type="dxa"/>
            <w:vAlign w:val="center"/>
          </w:tcPr>
          <w:p w14:paraId="6F2A1091" w14:textId="3B79074C" w:rsidR="00EA070F" w:rsidRPr="00EA070F" w:rsidRDefault="002213F1" w:rsidP="002213F1">
            <w:pPr>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30</w:t>
            </w:r>
            <w:r w:rsidR="00A7543B">
              <w:rPr>
                <w:rFonts w:eastAsia="Calibri" w:cs="Arial"/>
                <w:sz w:val="20"/>
                <w:szCs w:val="20"/>
              </w:rPr>
              <w:t>%</w:t>
            </w:r>
          </w:p>
        </w:tc>
        <w:tc>
          <w:tcPr>
            <w:tcW w:w="1166" w:type="dxa"/>
            <w:vAlign w:val="center"/>
          </w:tcPr>
          <w:p w14:paraId="0883C8BA" w14:textId="08A5E53A" w:rsidR="00EA070F" w:rsidRPr="00EA070F" w:rsidRDefault="00EA070F" w:rsidP="00A7543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FF33CC"/>
                <w:sz w:val="20"/>
                <w:szCs w:val="20"/>
              </w:rPr>
            </w:pPr>
            <w:r w:rsidRPr="00EA070F">
              <w:rPr>
                <w:rFonts w:eastAsia="Calibri" w:cs="Arial"/>
                <w:sz w:val="20"/>
                <w:szCs w:val="20"/>
              </w:rPr>
              <w:t>1</w:t>
            </w:r>
            <w:r w:rsidR="002213F1">
              <w:rPr>
                <w:rFonts w:eastAsia="Calibri" w:cs="Arial"/>
                <w:sz w:val="20"/>
                <w:szCs w:val="20"/>
              </w:rPr>
              <w:t>,</w:t>
            </w:r>
            <w:r w:rsidRPr="00EA070F">
              <w:rPr>
                <w:rFonts w:eastAsia="Calibri" w:cs="Arial"/>
                <w:sz w:val="20"/>
                <w:szCs w:val="20"/>
              </w:rPr>
              <w:t>144</w:t>
            </w:r>
          </w:p>
        </w:tc>
        <w:tc>
          <w:tcPr>
            <w:tcW w:w="1166" w:type="dxa"/>
            <w:vAlign w:val="center"/>
          </w:tcPr>
          <w:p w14:paraId="54A4D30E" w14:textId="3E515EFE" w:rsidR="000437F5" w:rsidRPr="00EA070F" w:rsidRDefault="001C19FC" w:rsidP="00A7543B">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FF33CC"/>
                <w:sz w:val="20"/>
                <w:szCs w:val="20"/>
              </w:rPr>
            </w:pPr>
            <w:r w:rsidRPr="001C19FC">
              <w:rPr>
                <w:rFonts w:eastAsia="Calibri" w:cs="Arial"/>
                <w:sz w:val="20"/>
                <w:szCs w:val="20"/>
              </w:rPr>
              <w:t>774</w:t>
            </w:r>
          </w:p>
        </w:tc>
        <w:tc>
          <w:tcPr>
            <w:tcW w:w="1166" w:type="dxa"/>
            <w:vAlign w:val="center"/>
          </w:tcPr>
          <w:p w14:paraId="142BC33E" w14:textId="6CF134B3" w:rsidR="00EA070F" w:rsidRPr="00EA070F" w:rsidRDefault="001C19FC" w:rsidP="00A7543B">
            <w:pPr>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68%</w:t>
            </w:r>
            <w:r w:rsidR="00EA070F" w:rsidRPr="00EA070F">
              <w:rPr>
                <w:rFonts w:eastAsia="Calibri" w:cs="Arial"/>
                <w:sz w:val="20"/>
                <w:szCs w:val="20"/>
              </w:rPr>
              <w:t>%</w:t>
            </w:r>
          </w:p>
        </w:tc>
      </w:tr>
      <w:tr w:rsidR="00EA070F" w:rsidRPr="004A6E23" w14:paraId="776FACBE" w14:textId="77777777" w:rsidTr="008A7C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58562F91" w14:textId="77777777" w:rsidR="00925690" w:rsidRPr="00EA070F" w:rsidRDefault="00925690" w:rsidP="00F40D97">
            <w:pPr>
              <w:spacing w:beforeAutospacing="1" w:after="200" w:afterAutospacing="1" w:line="276" w:lineRule="auto"/>
              <w:jc w:val="center"/>
              <w:rPr>
                <w:rFonts w:eastAsia="Calibri" w:cs="Arial"/>
                <w:sz w:val="20"/>
                <w:szCs w:val="20"/>
              </w:rPr>
            </w:pPr>
            <w:r w:rsidRPr="00EA070F">
              <w:rPr>
                <w:rFonts w:eastAsia="Calibri" w:cs="Arial"/>
                <w:color w:val="000000"/>
                <w:sz w:val="20"/>
                <w:szCs w:val="20"/>
              </w:rPr>
              <w:t>Provide homeless assistance &amp; prevention services</w:t>
            </w:r>
          </w:p>
        </w:tc>
        <w:tc>
          <w:tcPr>
            <w:tcW w:w="1620" w:type="dxa"/>
            <w:shd w:val="clear" w:color="auto" w:fill="FFFFFF" w:themeFill="background1"/>
            <w:vAlign w:val="center"/>
          </w:tcPr>
          <w:p w14:paraId="7D6BB765" w14:textId="77777777" w:rsidR="00925690" w:rsidRPr="00EA070F" w:rsidRDefault="00925690" w:rsidP="00F40D97">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color w:val="000000"/>
                <w:sz w:val="20"/>
                <w:szCs w:val="20"/>
              </w:rPr>
              <w:t>Homeless</w:t>
            </w:r>
          </w:p>
        </w:tc>
        <w:tc>
          <w:tcPr>
            <w:tcW w:w="1350" w:type="dxa"/>
            <w:vAlign w:val="center"/>
          </w:tcPr>
          <w:p w14:paraId="2867A936" w14:textId="77777777" w:rsidR="00925690" w:rsidRPr="00EA070F" w:rsidRDefault="00925690" w:rsidP="0056702A">
            <w:pPr>
              <w:spacing w:beforeAutospacing="1" w:after="200" w:afterAutospacing="1"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color w:val="000000"/>
                <w:sz w:val="20"/>
                <w:szCs w:val="20"/>
              </w:rPr>
              <w:t xml:space="preserve">HOPWA: $ </w:t>
            </w:r>
            <w:r w:rsidRPr="00F40D97">
              <w:rPr>
                <w:rFonts w:eastAsia="Calibri" w:cs="Arial"/>
                <w:b/>
                <w:sz w:val="20"/>
                <w:szCs w:val="20"/>
              </w:rPr>
              <w:t>2,921,564</w:t>
            </w:r>
          </w:p>
        </w:tc>
        <w:tc>
          <w:tcPr>
            <w:tcW w:w="1530" w:type="dxa"/>
            <w:vAlign w:val="center"/>
          </w:tcPr>
          <w:p w14:paraId="2BD3387D" w14:textId="77777777" w:rsidR="00925690" w:rsidRPr="00EA070F" w:rsidRDefault="00925690" w:rsidP="00F40D97">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color w:val="000000"/>
                <w:sz w:val="20"/>
                <w:szCs w:val="20"/>
              </w:rPr>
              <w:t>HIV/AIDS Housing Operations</w:t>
            </w:r>
          </w:p>
        </w:tc>
        <w:tc>
          <w:tcPr>
            <w:tcW w:w="1350" w:type="dxa"/>
            <w:vAlign w:val="center"/>
          </w:tcPr>
          <w:p w14:paraId="612ACBE8" w14:textId="77777777" w:rsidR="00925690" w:rsidRPr="00EA070F" w:rsidRDefault="00925690" w:rsidP="00F40D97">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EA070F">
              <w:rPr>
                <w:rFonts w:eastAsia="Calibri" w:cs="Arial"/>
                <w:color w:val="000000"/>
                <w:sz w:val="20"/>
                <w:szCs w:val="20"/>
              </w:rPr>
              <w:t>Household Housing Unit</w:t>
            </w:r>
          </w:p>
        </w:tc>
        <w:tc>
          <w:tcPr>
            <w:tcW w:w="1166" w:type="dxa"/>
            <w:vAlign w:val="center"/>
          </w:tcPr>
          <w:p w14:paraId="41DD5B79" w14:textId="77777777" w:rsidR="00656C23" w:rsidRPr="0023612C" w:rsidRDefault="004A730F" w:rsidP="00760B47">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3612C">
              <w:rPr>
                <w:rFonts w:eastAsia="Calibri" w:cs="Arial"/>
                <w:sz w:val="20"/>
                <w:szCs w:val="20"/>
              </w:rPr>
              <w:t>175</w:t>
            </w:r>
          </w:p>
        </w:tc>
        <w:tc>
          <w:tcPr>
            <w:tcW w:w="1166" w:type="dxa"/>
            <w:vAlign w:val="center"/>
          </w:tcPr>
          <w:p w14:paraId="640B02C7" w14:textId="77777777" w:rsidR="00656C23" w:rsidRPr="0023612C" w:rsidRDefault="004A730F" w:rsidP="001E761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3612C">
              <w:rPr>
                <w:rFonts w:eastAsia="Calibri" w:cs="Arial"/>
                <w:sz w:val="20"/>
                <w:szCs w:val="20"/>
              </w:rPr>
              <w:t>131</w:t>
            </w:r>
          </w:p>
        </w:tc>
        <w:tc>
          <w:tcPr>
            <w:tcW w:w="1166" w:type="dxa"/>
            <w:vAlign w:val="center"/>
          </w:tcPr>
          <w:p w14:paraId="1576739F" w14:textId="77777777" w:rsidR="00656C23" w:rsidRPr="0023612C" w:rsidRDefault="004A730F" w:rsidP="001E761F">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3612C">
              <w:rPr>
                <w:rFonts w:eastAsia="Calibri" w:cs="Arial"/>
                <w:sz w:val="20"/>
                <w:szCs w:val="20"/>
              </w:rPr>
              <w:t>75</w:t>
            </w:r>
          </w:p>
        </w:tc>
        <w:tc>
          <w:tcPr>
            <w:tcW w:w="1166" w:type="dxa"/>
            <w:vAlign w:val="center"/>
          </w:tcPr>
          <w:p w14:paraId="7C3E60BE" w14:textId="77777777" w:rsidR="00656C23" w:rsidRPr="0023612C" w:rsidRDefault="004A730F" w:rsidP="001E761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3612C">
              <w:rPr>
                <w:rFonts w:eastAsia="Calibri" w:cs="Arial"/>
                <w:sz w:val="20"/>
                <w:szCs w:val="20"/>
              </w:rPr>
              <w:t>35</w:t>
            </w:r>
          </w:p>
        </w:tc>
        <w:tc>
          <w:tcPr>
            <w:tcW w:w="1166" w:type="dxa"/>
            <w:vAlign w:val="center"/>
          </w:tcPr>
          <w:p w14:paraId="00124BE5" w14:textId="77777777" w:rsidR="00656C23" w:rsidRPr="0023612C" w:rsidRDefault="004A730F" w:rsidP="001E761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3612C">
              <w:rPr>
                <w:rFonts w:eastAsia="Calibri" w:cs="Arial"/>
                <w:sz w:val="20"/>
                <w:szCs w:val="20"/>
              </w:rPr>
              <w:t>44</w:t>
            </w:r>
          </w:p>
        </w:tc>
        <w:tc>
          <w:tcPr>
            <w:tcW w:w="1166" w:type="dxa"/>
            <w:vAlign w:val="center"/>
          </w:tcPr>
          <w:p w14:paraId="58F62ED6" w14:textId="77777777" w:rsidR="00656C23" w:rsidRPr="0023612C" w:rsidRDefault="004A730F" w:rsidP="001E761F">
            <w:pPr>
              <w:spacing w:beforeAutospacing="1" w:after="2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23612C">
              <w:rPr>
                <w:rFonts w:eastAsia="Calibri" w:cs="Arial"/>
                <w:sz w:val="20"/>
                <w:szCs w:val="20"/>
              </w:rPr>
              <w:t>66%</w:t>
            </w:r>
          </w:p>
        </w:tc>
      </w:tr>
      <w:tr w:rsidR="00760B47" w:rsidRPr="004A6E23" w14:paraId="5BFA31CE" w14:textId="77777777" w:rsidTr="008A7C09">
        <w:trPr>
          <w:jc w:val="center"/>
        </w:trPr>
        <w:tc>
          <w:tcPr>
            <w:cnfStyle w:val="001000000000" w:firstRow="0" w:lastRow="0" w:firstColumn="1" w:lastColumn="0" w:oddVBand="0" w:evenVBand="0" w:oddHBand="0" w:evenHBand="0" w:firstRowFirstColumn="0" w:firstRowLastColumn="0" w:lastRowFirstColumn="0" w:lastRowLastColumn="0"/>
            <w:tcW w:w="1705" w:type="dxa"/>
            <w:shd w:val="clear" w:color="auto" w:fill="D7E2ED" w:themeFill="accent3" w:themeFillTint="33"/>
            <w:vAlign w:val="center"/>
          </w:tcPr>
          <w:p w14:paraId="1242FD2C" w14:textId="77777777" w:rsidR="00760B47" w:rsidRPr="00EA070F" w:rsidRDefault="000437F5" w:rsidP="00760B47">
            <w:pPr>
              <w:spacing w:before="100" w:beforeAutospacing="1" w:after="100" w:afterAutospacing="1" w:line="276" w:lineRule="auto"/>
              <w:jc w:val="center"/>
              <w:rPr>
                <w:rFonts w:eastAsia="Calibri" w:cs="Arial"/>
                <w:color w:val="000000"/>
                <w:sz w:val="20"/>
                <w:szCs w:val="20"/>
              </w:rPr>
            </w:pPr>
            <w:r w:rsidRPr="000437F5">
              <w:rPr>
                <w:rFonts w:eastAsia="Calibri" w:cs="Arial"/>
                <w:color w:val="000000"/>
                <w:sz w:val="20"/>
                <w:szCs w:val="20"/>
              </w:rPr>
              <w:t>Provide homeless assistance &amp; prevention services</w:t>
            </w:r>
          </w:p>
        </w:tc>
        <w:tc>
          <w:tcPr>
            <w:tcW w:w="1620" w:type="dxa"/>
            <w:vAlign w:val="center"/>
          </w:tcPr>
          <w:p w14:paraId="2EF7361C" w14:textId="77777777" w:rsidR="00760B47" w:rsidRPr="00EA070F" w:rsidRDefault="000437F5" w:rsidP="00F40D97">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sidRPr="00EA070F">
              <w:rPr>
                <w:rFonts w:eastAsia="Calibri" w:cs="Arial"/>
                <w:color w:val="000000"/>
                <w:sz w:val="20"/>
                <w:szCs w:val="20"/>
              </w:rPr>
              <w:t>Homeless</w:t>
            </w:r>
          </w:p>
        </w:tc>
        <w:tc>
          <w:tcPr>
            <w:tcW w:w="1350" w:type="dxa"/>
            <w:vAlign w:val="center"/>
          </w:tcPr>
          <w:p w14:paraId="5CE3A1B1" w14:textId="77777777" w:rsidR="00760B47" w:rsidRPr="00EA070F" w:rsidRDefault="000437F5" w:rsidP="0056702A">
            <w:pPr>
              <w:spacing w:beforeAutospacing="1" w:after="200" w:afterAutospacing="1" w:line="276" w:lineRule="auto"/>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sidRPr="00EA070F">
              <w:rPr>
                <w:rFonts w:eastAsia="Calibri" w:cs="Arial"/>
                <w:color w:val="000000"/>
                <w:sz w:val="20"/>
                <w:szCs w:val="20"/>
              </w:rPr>
              <w:t xml:space="preserve">HOPWA: $ </w:t>
            </w:r>
            <w:r w:rsidRPr="00F40D97">
              <w:rPr>
                <w:rFonts w:eastAsia="Calibri" w:cs="Arial"/>
                <w:b/>
                <w:sz w:val="20"/>
                <w:szCs w:val="20"/>
              </w:rPr>
              <w:t>2,921,564</w:t>
            </w:r>
          </w:p>
        </w:tc>
        <w:tc>
          <w:tcPr>
            <w:tcW w:w="1530" w:type="dxa"/>
            <w:vAlign w:val="center"/>
          </w:tcPr>
          <w:p w14:paraId="23BEF51E" w14:textId="77777777" w:rsidR="00760B47" w:rsidRPr="00EA070F" w:rsidRDefault="004A730F" w:rsidP="00F40D97">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Pr>
                <w:rFonts w:eastAsia="Calibri" w:cs="Arial"/>
                <w:b/>
                <w:color w:val="000000"/>
                <w:sz w:val="20"/>
                <w:szCs w:val="20"/>
              </w:rPr>
              <w:t xml:space="preserve">Other: </w:t>
            </w:r>
            <w:r w:rsidR="0023612C">
              <w:rPr>
                <w:rFonts w:eastAsia="Calibri" w:cs="Arial"/>
                <w:b/>
                <w:color w:val="000000"/>
                <w:sz w:val="20"/>
                <w:szCs w:val="20"/>
              </w:rPr>
              <w:t xml:space="preserve">Special Needs </w:t>
            </w:r>
            <w:r w:rsidR="000437F5" w:rsidRPr="00EA070F">
              <w:rPr>
                <w:rFonts w:eastAsia="Calibri" w:cs="Arial"/>
                <w:color w:val="000000"/>
                <w:sz w:val="20"/>
                <w:szCs w:val="20"/>
              </w:rPr>
              <w:t>HIV/AIDS Housing Operations</w:t>
            </w:r>
          </w:p>
        </w:tc>
        <w:tc>
          <w:tcPr>
            <w:tcW w:w="1350" w:type="dxa"/>
            <w:vAlign w:val="center"/>
          </w:tcPr>
          <w:p w14:paraId="6FCE565D" w14:textId="77777777" w:rsidR="00760B47" w:rsidRPr="00EA070F" w:rsidRDefault="004A730F" w:rsidP="0023612C">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20"/>
                <w:szCs w:val="20"/>
              </w:rPr>
            </w:pPr>
            <w:r>
              <w:rPr>
                <w:rFonts w:eastAsia="Calibri" w:cs="Arial"/>
                <w:color w:val="000000"/>
                <w:sz w:val="20"/>
                <w:szCs w:val="20"/>
              </w:rPr>
              <w:t xml:space="preserve">Services, </w:t>
            </w:r>
            <w:r w:rsidR="0023612C">
              <w:rPr>
                <w:rFonts w:eastAsia="Calibri" w:cs="Arial"/>
                <w:color w:val="000000"/>
                <w:sz w:val="20"/>
                <w:szCs w:val="20"/>
              </w:rPr>
              <w:t>Permanent</w:t>
            </w:r>
            <w:r>
              <w:rPr>
                <w:rFonts w:eastAsia="Calibri" w:cs="Arial"/>
                <w:color w:val="000000"/>
                <w:sz w:val="20"/>
                <w:szCs w:val="20"/>
              </w:rPr>
              <w:t xml:space="preserve"> Housing</w:t>
            </w:r>
            <w:r w:rsidR="0023612C">
              <w:rPr>
                <w:rFonts w:eastAsia="Calibri" w:cs="Arial"/>
                <w:color w:val="000000"/>
                <w:sz w:val="20"/>
                <w:szCs w:val="20"/>
              </w:rPr>
              <w:t xml:space="preserve"> Placement, Supportive Services</w:t>
            </w:r>
          </w:p>
        </w:tc>
        <w:tc>
          <w:tcPr>
            <w:tcW w:w="1166" w:type="dxa"/>
            <w:vAlign w:val="center"/>
          </w:tcPr>
          <w:p w14:paraId="59D41F27" w14:textId="77777777" w:rsidR="00760B47" w:rsidRPr="0023612C" w:rsidRDefault="0023612C" w:rsidP="0023612C">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3612C">
              <w:rPr>
                <w:rFonts w:eastAsia="Calibri" w:cs="Arial"/>
                <w:sz w:val="20"/>
                <w:szCs w:val="20"/>
              </w:rPr>
              <w:t>8,690</w:t>
            </w:r>
          </w:p>
        </w:tc>
        <w:tc>
          <w:tcPr>
            <w:tcW w:w="1166" w:type="dxa"/>
            <w:vAlign w:val="center"/>
          </w:tcPr>
          <w:p w14:paraId="39BBEE44" w14:textId="268215B6" w:rsidR="00760B47" w:rsidRPr="0023612C" w:rsidRDefault="0023612C" w:rsidP="001E761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3612C">
              <w:rPr>
                <w:rFonts w:eastAsia="Calibri" w:cs="Arial"/>
                <w:sz w:val="20"/>
                <w:szCs w:val="20"/>
              </w:rPr>
              <w:t>7</w:t>
            </w:r>
            <w:r w:rsidR="002213F1">
              <w:rPr>
                <w:rFonts w:eastAsia="Calibri" w:cs="Arial"/>
                <w:sz w:val="20"/>
                <w:szCs w:val="20"/>
              </w:rPr>
              <w:t>,</w:t>
            </w:r>
            <w:r w:rsidRPr="0023612C">
              <w:rPr>
                <w:rFonts w:eastAsia="Calibri" w:cs="Arial"/>
                <w:sz w:val="20"/>
                <w:szCs w:val="20"/>
              </w:rPr>
              <w:t>204</w:t>
            </w:r>
          </w:p>
        </w:tc>
        <w:tc>
          <w:tcPr>
            <w:tcW w:w="1166" w:type="dxa"/>
            <w:vAlign w:val="center"/>
          </w:tcPr>
          <w:p w14:paraId="79B06B09" w14:textId="77777777" w:rsidR="00760B47" w:rsidRPr="0023612C" w:rsidRDefault="0023612C" w:rsidP="001E761F">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3612C">
              <w:rPr>
                <w:rFonts w:eastAsia="Calibri" w:cs="Arial"/>
                <w:sz w:val="20"/>
                <w:szCs w:val="20"/>
              </w:rPr>
              <w:t>83%</w:t>
            </w:r>
          </w:p>
        </w:tc>
        <w:tc>
          <w:tcPr>
            <w:tcW w:w="1166" w:type="dxa"/>
            <w:vAlign w:val="center"/>
          </w:tcPr>
          <w:p w14:paraId="00072B4A" w14:textId="77777777" w:rsidR="00760B47" w:rsidRPr="0023612C" w:rsidRDefault="0023612C" w:rsidP="001E761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3612C">
              <w:rPr>
                <w:rFonts w:eastAsia="Calibri" w:cs="Arial"/>
                <w:sz w:val="20"/>
                <w:szCs w:val="20"/>
              </w:rPr>
              <w:t>1,835</w:t>
            </w:r>
          </w:p>
        </w:tc>
        <w:tc>
          <w:tcPr>
            <w:tcW w:w="1166" w:type="dxa"/>
            <w:vAlign w:val="center"/>
          </w:tcPr>
          <w:p w14:paraId="2E146277" w14:textId="77777777" w:rsidR="00760B47" w:rsidRPr="0023612C" w:rsidRDefault="0023612C" w:rsidP="001E761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3612C">
              <w:rPr>
                <w:rFonts w:eastAsia="Calibri" w:cs="Arial"/>
                <w:sz w:val="20"/>
                <w:szCs w:val="20"/>
              </w:rPr>
              <w:t>1,486</w:t>
            </w:r>
          </w:p>
        </w:tc>
        <w:tc>
          <w:tcPr>
            <w:tcW w:w="1166" w:type="dxa"/>
            <w:vAlign w:val="center"/>
          </w:tcPr>
          <w:p w14:paraId="5F124BFE" w14:textId="77777777" w:rsidR="00760B47" w:rsidRPr="0023612C" w:rsidRDefault="0023612C" w:rsidP="001E761F">
            <w:pPr>
              <w:spacing w:beforeAutospacing="1" w:after="2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23612C">
              <w:rPr>
                <w:rFonts w:eastAsia="Calibri" w:cs="Arial"/>
                <w:sz w:val="20"/>
                <w:szCs w:val="20"/>
              </w:rPr>
              <w:t>81%</w:t>
            </w:r>
          </w:p>
        </w:tc>
      </w:tr>
    </w:tbl>
    <w:p w14:paraId="28558035" w14:textId="77777777" w:rsidR="004A6E23" w:rsidRDefault="004A6E23" w:rsidP="004A6E23">
      <w:pPr>
        <w:spacing w:after="0" w:line="240" w:lineRule="auto"/>
        <w:jc w:val="center"/>
        <w:rPr>
          <w:rFonts w:eastAsia="Calibri" w:cs="Arial"/>
          <w:b/>
          <w:bCs/>
          <w:sz w:val="16"/>
          <w:szCs w:val="20"/>
        </w:rPr>
      </w:pPr>
      <w:r w:rsidRPr="004A6E23">
        <w:rPr>
          <w:rFonts w:eastAsia="Calibri" w:cs="Arial"/>
          <w:b/>
          <w:bCs/>
          <w:sz w:val="16"/>
          <w:szCs w:val="20"/>
        </w:rPr>
        <w:t xml:space="preserve">Table </w:t>
      </w:r>
      <w:r w:rsidRPr="004A6E23">
        <w:rPr>
          <w:rFonts w:eastAsia="Calibri" w:cs="Arial"/>
          <w:b/>
          <w:bCs/>
          <w:sz w:val="16"/>
          <w:szCs w:val="20"/>
        </w:rPr>
        <w:fldChar w:fldCharType="begin"/>
      </w:r>
      <w:r w:rsidRPr="004A6E23">
        <w:rPr>
          <w:rFonts w:eastAsia="Calibri" w:cs="Arial"/>
          <w:b/>
          <w:bCs/>
          <w:sz w:val="16"/>
          <w:szCs w:val="20"/>
        </w:rPr>
        <w:instrText xml:space="preserve"> SEQ Table \* ARABIC </w:instrText>
      </w:r>
      <w:r w:rsidRPr="004A6E23">
        <w:rPr>
          <w:rFonts w:eastAsia="Calibri" w:cs="Arial"/>
          <w:b/>
          <w:bCs/>
          <w:sz w:val="16"/>
          <w:szCs w:val="20"/>
        </w:rPr>
        <w:fldChar w:fldCharType="separate"/>
      </w:r>
      <w:r w:rsidR="00AA534C">
        <w:rPr>
          <w:rFonts w:eastAsia="Calibri" w:cs="Arial"/>
          <w:b/>
          <w:bCs/>
          <w:noProof/>
          <w:sz w:val="16"/>
          <w:szCs w:val="20"/>
        </w:rPr>
        <w:t>1</w:t>
      </w:r>
      <w:r w:rsidRPr="004A6E23">
        <w:rPr>
          <w:rFonts w:eastAsia="Calibri" w:cs="Arial"/>
          <w:b/>
          <w:bCs/>
          <w:sz w:val="16"/>
          <w:szCs w:val="20"/>
        </w:rPr>
        <w:fldChar w:fldCharType="end"/>
      </w:r>
      <w:r w:rsidRPr="004A6E23">
        <w:rPr>
          <w:rFonts w:eastAsia="Calibri" w:cs="Arial"/>
          <w:b/>
          <w:bCs/>
          <w:sz w:val="16"/>
          <w:szCs w:val="20"/>
        </w:rPr>
        <w:t xml:space="preserve"> - Accomplishments – Program Year &amp; Strategic Plan to Date</w:t>
      </w:r>
    </w:p>
    <w:p w14:paraId="1B3D5487" w14:textId="77777777" w:rsidR="003E6342" w:rsidRDefault="003E6342" w:rsidP="00AC1311">
      <w:pPr>
        <w:keepNext/>
        <w:widowControl w:val="0"/>
        <w:rPr>
          <w:b/>
          <w:i/>
        </w:rPr>
      </w:pPr>
    </w:p>
    <w:p w14:paraId="491C212D" w14:textId="6A495B38" w:rsidR="00AC1311" w:rsidRPr="00CB5162" w:rsidRDefault="00AC1311" w:rsidP="00AC1311">
      <w:pPr>
        <w:keepNext/>
        <w:widowControl w:val="0"/>
        <w:rPr>
          <w:szCs w:val="24"/>
          <w:u w:val="single"/>
        </w:rPr>
      </w:pPr>
      <w:r w:rsidRPr="00CB5162">
        <w:rPr>
          <w:szCs w:val="24"/>
          <w:u w:val="single"/>
        </w:rPr>
        <w:t>Assess how the jurisdiction’s use of funds, particularly CDBG, addresses the priorities and specific objectives identified in the plan, giving special attention to the highest priority activities identified.</w:t>
      </w:r>
    </w:p>
    <w:p w14:paraId="5731A200" w14:textId="1C131662" w:rsidR="00AC1311" w:rsidRPr="003D517D" w:rsidRDefault="00AC1311" w:rsidP="00097EEE">
      <w:pPr>
        <w:keepNext/>
        <w:widowControl w:val="0"/>
        <w:spacing w:before="100" w:beforeAutospacing="1" w:after="100" w:afterAutospacing="1"/>
      </w:pPr>
      <w:r w:rsidRPr="003D517D">
        <w:t>Consistent with the priorities and specific objectives outline</w:t>
      </w:r>
      <w:r w:rsidR="002D097C">
        <w:t>d in the</w:t>
      </w:r>
      <w:r w:rsidR="008C51C2" w:rsidRPr="003D517D">
        <w:t xml:space="preserve"> Fiscal Year 2016-2017 (FY </w:t>
      </w:r>
      <w:r w:rsidR="00592B04" w:rsidRPr="003D517D">
        <w:t>2016-17</w:t>
      </w:r>
      <w:r w:rsidR="008C51C2" w:rsidRPr="003D517D">
        <w:t>)</w:t>
      </w:r>
      <w:r w:rsidRPr="003D517D">
        <w:t xml:space="preserve"> Annual </w:t>
      </w:r>
      <w:r w:rsidR="00F04661">
        <w:t xml:space="preserve">Action </w:t>
      </w:r>
      <w:r w:rsidRPr="003D517D">
        <w:t>Plan</w:t>
      </w:r>
      <w:r w:rsidR="008C51C2" w:rsidRPr="003D517D">
        <w:t xml:space="preserve"> (AP)</w:t>
      </w:r>
      <w:r w:rsidRPr="003D517D">
        <w:t xml:space="preserve">, the </w:t>
      </w:r>
      <w:r w:rsidR="002D097C">
        <w:t>Department</w:t>
      </w:r>
      <w:r w:rsidRPr="003D517D">
        <w:t xml:space="preserve"> allocates the largest share of its</w:t>
      </w:r>
      <w:r w:rsidR="008C51C2" w:rsidRPr="003D517D">
        <w:t xml:space="preserve"> U.S. Department of Housing and Urban Development</w:t>
      </w:r>
      <w:r w:rsidRPr="003D517D">
        <w:t xml:space="preserve"> </w:t>
      </w:r>
      <w:r w:rsidR="008C51C2" w:rsidRPr="003D517D">
        <w:t>(</w:t>
      </w:r>
      <w:r w:rsidRPr="003D517D">
        <w:t>HUD</w:t>
      </w:r>
      <w:r w:rsidR="008C51C2" w:rsidRPr="003D517D">
        <w:t>)</w:t>
      </w:r>
      <w:r w:rsidR="002D097C">
        <w:t xml:space="preserve">) </w:t>
      </w:r>
      <w:r w:rsidRPr="003D517D">
        <w:t>funds to rental housing production, (</w:t>
      </w:r>
      <w:r w:rsidRPr="0089054F">
        <w:t xml:space="preserve">approximately </w:t>
      </w:r>
      <w:r w:rsidRPr="0089054F">
        <w:rPr>
          <w:b/>
        </w:rPr>
        <w:t>$</w:t>
      </w:r>
      <w:r w:rsidR="0089054F">
        <w:rPr>
          <w:b/>
        </w:rPr>
        <w:t>24</w:t>
      </w:r>
      <w:r w:rsidR="008C51C2" w:rsidRPr="0089054F">
        <w:rPr>
          <w:b/>
        </w:rPr>
        <w:t xml:space="preserve"> </w:t>
      </w:r>
      <w:r w:rsidRPr="0089054F">
        <w:rPr>
          <w:b/>
        </w:rPr>
        <w:t>million</w:t>
      </w:r>
      <w:r w:rsidRPr="0089054F">
        <w:t>)</w:t>
      </w:r>
      <w:r w:rsidR="000251C6" w:rsidRPr="0089054F">
        <w:t>,</w:t>
      </w:r>
      <w:r w:rsidR="000251C6">
        <w:t xml:space="preserve"> as well as </w:t>
      </w:r>
      <w:r w:rsidRPr="003D517D">
        <w:t xml:space="preserve">homeownership activities, </w:t>
      </w:r>
      <w:r w:rsidRPr="0089054F">
        <w:t xml:space="preserve">(approximately </w:t>
      </w:r>
      <w:r w:rsidRPr="0089054F">
        <w:rPr>
          <w:b/>
        </w:rPr>
        <w:t>$</w:t>
      </w:r>
      <w:r w:rsidR="0089054F">
        <w:rPr>
          <w:b/>
        </w:rPr>
        <w:t>19</w:t>
      </w:r>
      <w:r w:rsidR="00EA430C" w:rsidRPr="0089054F">
        <w:rPr>
          <w:b/>
        </w:rPr>
        <w:t xml:space="preserve"> </w:t>
      </w:r>
      <w:r w:rsidRPr="0089054F">
        <w:rPr>
          <w:b/>
        </w:rPr>
        <w:t>million</w:t>
      </w:r>
      <w:r w:rsidRPr="0089054F">
        <w:t>).</w:t>
      </w:r>
      <w:r w:rsidRPr="003D517D">
        <w:t xml:space="preserve">   Similarly</w:t>
      </w:r>
      <w:r w:rsidRPr="0089054F">
        <w:t xml:space="preserve">, </w:t>
      </w:r>
      <w:r w:rsidRPr="0089054F">
        <w:rPr>
          <w:b/>
        </w:rPr>
        <w:t>$</w:t>
      </w:r>
      <w:r w:rsidR="0089054F" w:rsidRPr="0089054F">
        <w:rPr>
          <w:b/>
        </w:rPr>
        <w:t>23</w:t>
      </w:r>
      <w:r w:rsidR="0089054F">
        <w:rPr>
          <w:b/>
        </w:rPr>
        <w:t xml:space="preserve"> </w:t>
      </w:r>
      <w:r w:rsidRPr="0089054F">
        <w:rPr>
          <w:b/>
        </w:rPr>
        <w:t>million</w:t>
      </w:r>
      <w:r w:rsidRPr="0089054F">
        <w:t xml:space="preserve"> is allocated to homelessness assistance and tenant-based rental assistance, and approximately </w:t>
      </w:r>
      <w:r w:rsidRPr="0089054F">
        <w:rPr>
          <w:b/>
        </w:rPr>
        <w:t>$</w:t>
      </w:r>
      <w:r w:rsidR="0089054F" w:rsidRPr="0089054F">
        <w:rPr>
          <w:b/>
        </w:rPr>
        <w:t>11</w:t>
      </w:r>
      <w:r w:rsidR="0089054F">
        <w:rPr>
          <w:b/>
        </w:rPr>
        <w:t xml:space="preserve"> </w:t>
      </w:r>
      <w:r w:rsidRPr="0089054F">
        <w:rPr>
          <w:b/>
        </w:rPr>
        <w:t>million</w:t>
      </w:r>
      <w:r w:rsidRPr="0089054F">
        <w:t xml:space="preserve"> is allocated to infrastructure improvements.  </w:t>
      </w:r>
      <w:r w:rsidR="008C51C2" w:rsidRPr="0089054F">
        <w:t xml:space="preserve"> </w:t>
      </w:r>
      <w:r w:rsidRPr="0089054F">
        <w:t xml:space="preserve">Although each of these activities are important </w:t>
      </w:r>
      <w:r w:rsidR="00592B04" w:rsidRPr="0089054F">
        <w:t xml:space="preserve">state </w:t>
      </w:r>
      <w:r w:rsidRPr="0089054F">
        <w:t>priorities, the relative share of funds for these activities is</w:t>
      </w:r>
      <w:r w:rsidRPr="003D517D">
        <w:t xml:space="preserve"> consistent with the focus of the HOME</w:t>
      </w:r>
      <w:r w:rsidR="002D097C">
        <w:t xml:space="preserve"> Investment Partnership Program (HOME)</w:t>
      </w:r>
      <w:r w:rsidRPr="003D517D">
        <w:t>,</w:t>
      </w:r>
      <w:r w:rsidR="002D097C">
        <w:t xml:space="preserve"> Emergency Solutions Grant</w:t>
      </w:r>
      <w:r w:rsidRPr="003D517D">
        <w:t xml:space="preserve"> </w:t>
      </w:r>
      <w:r w:rsidR="002D097C">
        <w:t>(</w:t>
      </w:r>
      <w:r w:rsidRPr="003D517D">
        <w:t>ESG</w:t>
      </w:r>
      <w:r w:rsidR="002D097C">
        <w:t>)</w:t>
      </w:r>
      <w:r w:rsidRPr="003D517D">
        <w:t>, and</w:t>
      </w:r>
      <w:r w:rsidR="002D097C">
        <w:t xml:space="preserve"> Housing Opportunities for Persons with AIDS</w:t>
      </w:r>
      <w:r w:rsidRPr="003D517D">
        <w:t xml:space="preserve"> </w:t>
      </w:r>
      <w:r w:rsidR="002D097C">
        <w:t>(</w:t>
      </w:r>
      <w:r w:rsidRPr="003D517D">
        <w:t>HOPWA</w:t>
      </w:r>
      <w:r w:rsidR="002D097C">
        <w:t>)</w:t>
      </w:r>
      <w:r w:rsidRPr="003D517D">
        <w:t xml:space="preserve"> programs on housing and homelessness assistance. </w:t>
      </w:r>
    </w:p>
    <w:p w14:paraId="2620ADFF" w14:textId="5AADBBA9" w:rsidR="00AC1311" w:rsidRPr="003D517D" w:rsidRDefault="00AC1311" w:rsidP="00966A65">
      <w:pPr>
        <w:keepNext/>
        <w:widowControl w:val="0"/>
        <w:spacing w:before="100" w:beforeAutospacing="1" w:after="100" w:afterAutospacing="1"/>
      </w:pPr>
      <w:r w:rsidRPr="003D517D">
        <w:t xml:space="preserve">For FY </w:t>
      </w:r>
      <w:r w:rsidR="00592B04" w:rsidRPr="003D517D">
        <w:t>2016-17</w:t>
      </w:r>
      <w:r w:rsidR="000E20F9">
        <w:t>,</w:t>
      </w:r>
      <w:r w:rsidRPr="003D517D">
        <w:t xml:space="preserve"> </w:t>
      </w:r>
      <w:r w:rsidR="000E20F9">
        <w:t>the Community Development Block Grant (</w:t>
      </w:r>
      <w:r w:rsidRPr="003D517D">
        <w:t>CDBG</w:t>
      </w:r>
      <w:r w:rsidR="000E20F9">
        <w:t>) program</w:t>
      </w:r>
      <w:r w:rsidRPr="003D517D">
        <w:t xml:space="preserve">’s highest expenditures were for public facilities/public infrastructure </w:t>
      </w:r>
      <w:r w:rsidRPr="0089054F">
        <w:t>projects (</w:t>
      </w:r>
      <w:r w:rsidR="00D3577E" w:rsidRPr="003D517D">
        <w:t>approximately</w:t>
      </w:r>
      <w:r w:rsidR="00D3577E" w:rsidRPr="0089054F">
        <w:rPr>
          <w:b/>
        </w:rPr>
        <w:t xml:space="preserve"> </w:t>
      </w:r>
      <w:r w:rsidRPr="0089054F">
        <w:rPr>
          <w:b/>
        </w:rPr>
        <w:t>$</w:t>
      </w:r>
      <w:r w:rsidR="0089054F" w:rsidRPr="0089054F">
        <w:rPr>
          <w:b/>
        </w:rPr>
        <w:t xml:space="preserve">11 </w:t>
      </w:r>
      <w:r w:rsidRPr="0089054F">
        <w:rPr>
          <w:b/>
        </w:rPr>
        <w:t>million</w:t>
      </w:r>
      <w:r w:rsidRPr="0089054F">
        <w:t xml:space="preserve">), </w:t>
      </w:r>
      <w:r w:rsidRPr="003D517D">
        <w:t xml:space="preserve">followed by </w:t>
      </w:r>
      <w:r w:rsidRPr="0089054F">
        <w:t xml:space="preserve">housing </w:t>
      </w:r>
      <w:r w:rsidRPr="0089054F">
        <w:rPr>
          <w:b/>
        </w:rPr>
        <w:t>(</w:t>
      </w:r>
      <w:r w:rsidR="00D3577E" w:rsidRPr="003D517D">
        <w:t>approximately</w:t>
      </w:r>
      <w:r w:rsidR="00D3577E" w:rsidRPr="0089054F">
        <w:rPr>
          <w:b/>
        </w:rPr>
        <w:t xml:space="preserve"> </w:t>
      </w:r>
      <w:r w:rsidRPr="0089054F">
        <w:rPr>
          <w:b/>
        </w:rPr>
        <w:t>$</w:t>
      </w:r>
      <w:r w:rsidR="0089054F">
        <w:rPr>
          <w:b/>
        </w:rPr>
        <w:t>9</w:t>
      </w:r>
      <w:r w:rsidRPr="0089054F">
        <w:rPr>
          <w:b/>
        </w:rPr>
        <w:t xml:space="preserve"> million</w:t>
      </w:r>
      <w:r w:rsidRPr="0089054F">
        <w:t>), then</w:t>
      </w:r>
      <w:r w:rsidRPr="003D517D">
        <w:t xml:space="preserve"> public services (</w:t>
      </w:r>
      <w:bookmarkStart w:id="2" w:name="_Hlk492645460"/>
      <w:r w:rsidRPr="003D517D">
        <w:t>approximately</w:t>
      </w:r>
      <w:bookmarkEnd w:id="2"/>
      <w:r w:rsidRPr="003D517D">
        <w:t xml:space="preserve"> </w:t>
      </w:r>
      <w:r w:rsidRPr="00D3577E">
        <w:rPr>
          <w:b/>
        </w:rPr>
        <w:t>$</w:t>
      </w:r>
      <w:r w:rsidR="00D3577E">
        <w:rPr>
          <w:b/>
        </w:rPr>
        <w:t>3</w:t>
      </w:r>
      <w:r w:rsidRPr="00D3577E">
        <w:rPr>
          <w:b/>
        </w:rPr>
        <w:t xml:space="preserve"> million</w:t>
      </w:r>
      <w:r w:rsidRPr="00D3577E">
        <w:t>).</w:t>
      </w:r>
      <w:r w:rsidRPr="003D517D">
        <w:t xml:space="preserve"> </w:t>
      </w:r>
      <w:r w:rsidR="008C51C2" w:rsidRPr="003D517D">
        <w:t xml:space="preserve"> </w:t>
      </w:r>
      <w:r w:rsidR="00EA1611" w:rsidRPr="00CA1BA1">
        <w:rPr>
          <w:rFonts w:cs="Arial"/>
          <w:bCs/>
        </w:rPr>
        <w:t xml:space="preserve">State statute requires that at least 51 percent of the Department’s CDBG allocation go to housing and housing related </w:t>
      </w:r>
      <w:r w:rsidR="00EA1611" w:rsidRPr="00CA1BA1">
        <w:rPr>
          <w:rFonts w:cs="Arial"/>
          <w:bCs/>
        </w:rPr>
        <w:lastRenderedPageBreak/>
        <w:t>activities; no more than 30</w:t>
      </w:r>
      <w:r w:rsidR="00EA1611">
        <w:rPr>
          <w:rFonts w:cs="Arial"/>
          <w:bCs/>
        </w:rPr>
        <w:t xml:space="preserve"> </w:t>
      </w:r>
      <w:r w:rsidR="00EA1611" w:rsidRPr="00CA1BA1">
        <w:rPr>
          <w:rFonts w:cs="Arial"/>
          <w:bCs/>
        </w:rPr>
        <w:t>percent of the allocation shall be set aside for economic development projects and progra</w:t>
      </w:r>
      <w:r w:rsidR="00EA1611">
        <w:rPr>
          <w:rFonts w:cs="Arial"/>
          <w:bCs/>
        </w:rPr>
        <w:t xml:space="preserve">ms.  These </w:t>
      </w:r>
      <w:r w:rsidRPr="003D517D">
        <w:t>expenditures are consistent with CDBG’s funding priorities and meet the state and federal expenditure requirements and limits.  Additionally, the program expended approximatel</w:t>
      </w:r>
      <w:r w:rsidRPr="00D3577E">
        <w:t xml:space="preserve">y </w:t>
      </w:r>
      <w:r w:rsidRPr="00D3577E">
        <w:rPr>
          <w:b/>
        </w:rPr>
        <w:t>$</w:t>
      </w:r>
      <w:r w:rsidR="00D3577E">
        <w:rPr>
          <w:b/>
        </w:rPr>
        <w:t>11</w:t>
      </w:r>
      <w:r w:rsidR="008C51C2" w:rsidRPr="00D3577E">
        <w:rPr>
          <w:b/>
        </w:rPr>
        <w:t xml:space="preserve"> </w:t>
      </w:r>
      <w:r w:rsidRPr="00D3577E">
        <w:rPr>
          <w:b/>
        </w:rPr>
        <w:t>million</w:t>
      </w:r>
      <w:r w:rsidRPr="00097EEE">
        <w:rPr>
          <w:b/>
        </w:rPr>
        <w:t xml:space="preserve"> </w:t>
      </w:r>
      <w:r w:rsidRPr="003D517D">
        <w:t xml:space="preserve">for economic development, along </w:t>
      </w:r>
      <w:r w:rsidRPr="00D3577E">
        <w:t xml:space="preserve">with </w:t>
      </w:r>
      <w:r w:rsidRPr="00D3577E">
        <w:rPr>
          <w:b/>
        </w:rPr>
        <w:t>$</w:t>
      </w:r>
      <w:r w:rsidR="003E6342">
        <w:rPr>
          <w:b/>
        </w:rPr>
        <w:t xml:space="preserve">100 </w:t>
      </w:r>
      <w:r w:rsidRPr="00D3577E">
        <w:t>thousand</w:t>
      </w:r>
      <w:r w:rsidRPr="003D517D">
        <w:t xml:space="preserve"> for planning-only grants.  </w:t>
      </w:r>
      <w:r w:rsidR="008C51C2" w:rsidRPr="003D517D">
        <w:t xml:space="preserve"> </w:t>
      </w:r>
      <w:r w:rsidRPr="003D517D">
        <w:t xml:space="preserve">While all CDBG activities are greatly needed in California, the </w:t>
      </w:r>
      <w:r w:rsidR="002D097C">
        <w:t>Department</w:t>
      </w:r>
      <w:r w:rsidR="00592B04" w:rsidRPr="003D517D">
        <w:t xml:space="preserve"> </w:t>
      </w:r>
      <w:r w:rsidRPr="003D517D">
        <w:t>has identified three top priorities for its CDBG funds</w:t>
      </w:r>
      <w:r w:rsidR="00EA1611" w:rsidRPr="003D517D">
        <w:t>: (</w:t>
      </w:r>
      <w:r w:rsidR="008C51C2" w:rsidRPr="003D517D">
        <w:t xml:space="preserve">1) </w:t>
      </w:r>
      <w:r w:rsidRPr="003D517D">
        <w:t>Public Infrastructure (for potable water projects)</w:t>
      </w:r>
      <w:r w:rsidR="008C51C2" w:rsidRPr="003D517D">
        <w:t>;</w:t>
      </w:r>
      <w:r w:rsidRPr="003D517D">
        <w:t xml:space="preserve"> </w:t>
      </w:r>
      <w:r w:rsidR="008C51C2" w:rsidRPr="003D517D">
        <w:t xml:space="preserve">(2) </w:t>
      </w:r>
      <w:r w:rsidRPr="003D517D">
        <w:t>Public Services (for job training)</w:t>
      </w:r>
      <w:r w:rsidR="008C51C2" w:rsidRPr="003D517D">
        <w:t>;</w:t>
      </w:r>
      <w:r w:rsidRPr="003D517D">
        <w:t xml:space="preserve"> </w:t>
      </w:r>
      <w:r w:rsidR="00EA1611">
        <w:t xml:space="preserve">(3) Economic Development </w:t>
      </w:r>
      <w:r w:rsidRPr="003D517D">
        <w:t>and</w:t>
      </w:r>
      <w:r w:rsidR="008C51C2" w:rsidRPr="003D517D">
        <w:t xml:space="preserve"> (</w:t>
      </w:r>
      <w:r w:rsidR="00EA1611">
        <w:t>4</w:t>
      </w:r>
      <w:r w:rsidR="008C51C2" w:rsidRPr="003D517D">
        <w:t>)</w:t>
      </w:r>
      <w:r w:rsidRPr="003D517D">
        <w:t xml:space="preserve"> Homeownership, (pursuant to our Analysis of Impediments to Fair Housing ((AI) findings).  </w:t>
      </w:r>
      <w:r w:rsidR="008C51C2" w:rsidRPr="003D517D">
        <w:t xml:space="preserve"> </w:t>
      </w:r>
      <w:r w:rsidRPr="003D517D">
        <w:t xml:space="preserve">The CDBG expenditures for FY </w:t>
      </w:r>
      <w:r w:rsidR="008C51C2" w:rsidRPr="003D517D">
        <w:t xml:space="preserve">2016-17 </w:t>
      </w:r>
      <w:r w:rsidRPr="003D517D">
        <w:t>are consistent with the programs identified.</w:t>
      </w:r>
    </w:p>
    <w:p w14:paraId="4EBFDADD" w14:textId="77777777" w:rsidR="00AC1311" w:rsidRPr="00AC1311" w:rsidRDefault="00AC1311">
      <w:pPr>
        <w:rPr>
          <w:rFonts w:ascii="Calibri" w:eastAsia="Calibri" w:hAnsi="Calibri" w:cs="Times New Roman"/>
          <w:color w:val="002060"/>
          <w:sz w:val="22"/>
        </w:rPr>
      </w:pPr>
    </w:p>
    <w:p w14:paraId="313C3836" w14:textId="77777777" w:rsidR="002C6471" w:rsidRPr="00383D33" w:rsidRDefault="002C6471" w:rsidP="00AC1311">
      <w:pPr>
        <w:rPr>
          <w:rFonts w:ascii="Calibri" w:eastAsia="Calibri" w:hAnsi="Calibri" w:cs="Times New Roman"/>
          <w:b/>
          <w:color w:val="002060"/>
          <w:sz w:val="22"/>
          <w:u w:val="single"/>
        </w:rPr>
      </w:pPr>
      <w:r>
        <w:rPr>
          <w:rFonts w:ascii="Calibri" w:eastAsia="Calibri" w:hAnsi="Calibri" w:cs="Times New Roman"/>
          <w:sz w:val="22"/>
        </w:rPr>
        <w:br w:type="page"/>
      </w:r>
    </w:p>
    <w:p w14:paraId="6E4546FB" w14:textId="77777777" w:rsidR="002C6471" w:rsidRPr="002C6471" w:rsidRDefault="002C6471" w:rsidP="00DB46AC">
      <w:pPr>
        <w:keepNext/>
        <w:widowControl w:val="0"/>
        <w:spacing w:after="0" w:line="240" w:lineRule="auto"/>
        <w:rPr>
          <w:color w:val="C00000"/>
          <w:szCs w:val="24"/>
        </w:rPr>
      </w:pPr>
    </w:p>
    <w:p w14:paraId="72C10371" w14:textId="77777777" w:rsidR="00DB46AC" w:rsidRPr="00172F88" w:rsidRDefault="00BF1369" w:rsidP="00172F88">
      <w:pPr>
        <w:jc w:val="center"/>
        <w:rPr>
          <w:rFonts w:ascii="Calibri" w:eastAsia="Calibri" w:hAnsi="Calibri" w:cs="Times New Roman"/>
          <w:sz w:val="22"/>
        </w:rPr>
      </w:pPr>
      <w:r w:rsidRPr="00936F6D">
        <w:rPr>
          <w:b/>
          <w:bCs/>
          <w:color w:val="335375" w:themeColor="accent3" w:themeShade="BF"/>
          <w:sz w:val="28"/>
          <w:u w:val="single"/>
        </w:rPr>
        <w:t>CR-10 Racial and Ethnic composition of families assisted</w:t>
      </w:r>
    </w:p>
    <w:p w14:paraId="71ADF46B" w14:textId="77777777" w:rsidR="00BF1369" w:rsidRPr="00936F6D" w:rsidRDefault="00BF1369" w:rsidP="00BF1369">
      <w:pPr>
        <w:rPr>
          <w:i/>
          <w:color w:val="87A9CB" w:themeColor="accent3" w:themeTint="99"/>
        </w:rPr>
      </w:pPr>
      <w:r w:rsidRPr="00936F6D">
        <w:rPr>
          <w:i/>
          <w:color w:val="87A9CB" w:themeColor="accent3" w:themeTint="99"/>
        </w:rPr>
        <w:t>Regulation Citation(s): 24 CFR 91.520(a)</w:t>
      </w:r>
    </w:p>
    <w:tbl>
      <w:tblPr>
        <w:tblStyle w:val="ListTable3-Accent3"/>
        <w:tblpPr w:leftFromText="180" w:rightFromText="180" w:vertAnchor="text" w:horzAnchor="margin" w:tblpY="151"/>
        <w:tblW w:w="5000" w:type="pct"/>
        <w:tblLayout w:type="fixed"/>
        <w:tblLook w:val="01E0" w:firstRow="1" w:lastRow="1" w:firstColumn="1" w:lastColumn="1" w:noHBand="0" w:noVBand="0"/>
      </w:tblPr>
      <w:tblGrid>
        <w:gridCol w:w="6206"/>
        <w:gridCol w:w="2047"/>
        <w:gridCol w:w="2047"/>
        <w:gridCol w:w="2047"/>
        <w:gridCol w:w="2023"/>
        <w:gridCol w:w="20"/>
      </w:tblGrid>
      <w:tr w:rsidR="0088277E" w:rsidRPr="00344655" w14:paraId="31A20B3C" w14:textId="77777777" w:rsidTr="0088277E">
        <w:trPr>
          <w:gridAfter w:val="1"/>
          <w:cnfStyle w:val="100000000000" w:firstRow="1" w:lastRow="0" w:firstColumn="0" w:lastColumn="0" w:oddVBand="0" w:evenVBand="0" w:oddHBand="0" w:evenHBand="0" w:firstRowFirstColumn="0" w:firstRowLastColumn="0" w:lastRowFirstColumn="0" w:lastRowLastColumn="0"/>
          <w:wAfter w:w="7" w:type="pct"/>
        </w:trPr>
        <w:tc>
          <w:tcPr>
            <w:cnfStyle w:val="001000000100" w:firstRow="0" w:lastRow="0" w:firstColumn="1" w:lastColumn="0" w:oddVBand="0" w:evenVBand="0" w:oddHBand="0" w:evenHBand="0" w:firstRowFirstColumn="1" w:firstRowLastColumn="0" w:lastRowFirstColumn="0" w:lastRowLastColumn="0"/>
            <w:tcW w:w="2156" w:type="pct"/>
          </w:tcPr>
          <w:p w14:paraId="2534182A" w14:textId="77777777" w:rsidR="0088277E" w:rsidRPr="00CF5CBE" w:rsidRDefault="0088277E" w:rsidP="0088277E">
            <w:pPr>
              <w:jc w:val="center"/>
              <w:rPr>
                <w:sz w:val="28"/>
              </w:rPr>
            </w:pPr>
            <w:r w:rsidRPr="00CF5CBE">
              <w:rPr>
                <w:sz w:val="28"/>
              </w:rPr>
              <w:t>Race</w:t>
            </w:r>
          </w:p>
        </w:tc>
        <w:tc>
          <w:tcPr>
            <w:cnfStyle w:val="000010000000" w:firstRow="0" w:lastRow="0" w:firstColumn="0" w:lastColumn="0" w:oddVBand="1" w:evenVBand="0" w:oddHBand="0" w:evenHBand="0" w:firstRowFirstColumn="0" w:firstRowLastColumn="0" w:lastRowFirstColumn="0" w:lastRowLastColumn="0"/>
            <w:tcW w:w="711" w:type="pct"/>
          </w:tcPr>
          <w:p w14:paraId="5A8FD228" w14:textId="77777777" w:rsidR="0088277E" w:rsidRPr="00DF3678" w:rsidRDefault="0088277E" w:rsidP="0088277E">
            <w:pPr>
              <w:jc w:val="center"/>
              <w:rPr>
                <w:sz w:val="28"/>
              </w:rPr>
            </w:pPr>
            <w:r w:rsidRPr="00DF3678">
              <w:rPr>
                <w:sz w:val="28"/>
              </w:rPr>
              <w:t>CDBG</w:t>
            </w:r>
          </w:p>
        </w:tc>
        <w:tc>
          <w:tcPr>
            <w:tcW w:w="711" w:type="pct"/>
          </w:tcPr>
          <w:p w14:paraId="5A7E2CA2" w14:textId="77777777" w:rsidR="0088277E" w:rsidRPr="00DF3678" w:rsidRDefault="0088277E" w:rsidP="0088277E">
            <w:pPr>
              <w:jc w:val="center"/>
              <w:cnfStyle w:val="100000000000" w:firstRow="1" w:lastRow="0" w:firstColumn="0" w:lastColumn="0" w:oddVBand="0" w:evenVBand="0" w:oddHBand="0" w:evenHBand="0" w:firstRowFirstColumn="0" w:firstRowLastColumn="0" w:lastRowFirstColumn="0" w:lastRowLastColumn="0"/>
              <w:rPr>
                <w:sz w:val="28"/>
              </w:rPr>
            </w:pPr>
            <w:r w:rsidRPr="00DF3678">
              <w:rPr>
                <w:sz w:val="28"/>
              </w:rPr>
              <w:t>HOME</w:t>
            </w:r>
          </w:p>
        </w:tc>
        <w:tc>
          <w:tcPr>
            <w:cnfStyle w:val="000010000000" w:firstRow="0" w:lastRow="0" w:firstColumn="0" w:lastColumn="0" w:oddVBand="1" w:evenVBand="0" w:oddHBand="0" w:evenHBand="0" w:firstRowFirstColumn="0" w:firstRowLastColumn="0" w:lastRowFirstColumn="0" w:lastRowLastColumn="0"/>
            <w:tcW w:w="711" w:type="pct"/>
          </w:tcPr>
          <w:p w14:paraId="35833678" w14:textId="77777777" w:rsidR="0088277E" w:rsidRPr="00DF3678" w:rsidRDefault="0088277E" w:rsidP="0088277E">
            <w:pPr>
              <w:jc w:val="center"/>
              <w:rPr>
                <w:sz w:val="28"/>
              </w:rPr>
            </w:pPr>
            <w:r>
              <w:rPr>
                <w:sz w:val="28"/>
              </w:rPr>
              <w:t>H</w:t>
            </w:r>
            <w:r w:rsidRPr="00DF3678">
              <w:rPr>
                <w:sz w:val="28"/>
              </w:rPr>
              <w:t>O</w:t>
            </w:r>
            <w:r>
              <w:rPr>
                <w:sz w:val="28"/>
              </w:rPr>
              <w:t>P</w:t>
            </w:r>
            <w:r w:rsidRPr="00DF3678">
              <w:rPr>
                <w:sz w:val="28"/>
              </w:rPr>
              <w:t>WA</w:t>
            </w:r>
          </w:p>
        </w:tc>
        <w:tc>
          <w:tcPr>
            <w:cnfStyle w:val="000100001000" w:firstRow="0" w:lastRow="0" w:firstColumn="0" w:lastColumn="1" w:oddVBand="0" w:evenVBand="0" w:oddHBand="0" w:evenHBand="0" w:firstRowFirstColumn="0" w:firstRowLastColumn="1" w:lastRowFirstColumn="0" w:lastRowLastColumn="0"/>
            <w:tcW w:w="703" w:type="pct"/>
          </w:tcPr>
          <w:p w14:paraId="05CD577D" w14:textId="77777777" w:rsidR="0088277E" w:rsidRPr="00DF3678" w:rsidRDefault="0088277E" w:rsidP="0088277E">
            <w:pPr>
              <w:jc w:val="center"/>
              <w:rPr>
                <w:sz w:val="28"/>
              </w:rPr>
            </w:pPr>
            <w:r w:rsidRPr="00DF3678">
              <w:rPr>
                <w:sz w:val="28"/>
              </w:rPr>
              <w:t>ESG</w:t>
            </w:r>
          </w:p>
        </w:tc>
      </w:tr>
      <w:tr w:rsidR="0088277E" w:rsidRPr="00DF3678" w14:paraId="37A2A5D9" w14:textId="77777777" w:rsidTr="0088277E">
        <w:trPr>
          <w:gridAfter w:val="1"/>
          <w:cnfStyle w:val="000000100000" w:firstRow="0" w:lastRow="0" w:firstColumn="0" w:lastColumn="0" w:oddVBand="0" w:evenVBand="0" w:oddHBand="1" w:evenHBand="0" w:firstRowFirstColumn="0" w:firstRowLastColumn="0" w:lastRowFirstColumn="0" w:lastRowLastColumn="0"/>
          <w:wAfter w:w="7" w:type="pct"/>
        </w:trPr>
        <w:tc>
          <w:tcPr>
            <w:cnfStyle w:val="001000000000" w:firstRow="0" w:lastRow="0" w:firstColumn="1" w:lastColumn="0" w:oddVBand="0" w:evenVBand="0" w:oddHBand="0" w:evenHBand="0" w:firstRowFirstColumn="0" w:firstRowLastColumn="0" w:lastRowFirstColumn="0" w:lastRowLastColumn="0"/>
            <w:tcW w:w="2156" w:type="pct"/>
          </w:tcPr>
          <w:p w14:paraId="3095D8CF" w14:textId="77777777" w:rsidR="0088277E" w:rsidRPr="00CF5CBE" w:rsidRDefault="0088277E" w:rsidP="0088277E">
            <w:pPr>
              <w:rPr>
                <w:b w:val="0"/>
              </w:rPr>
            </w:pPr>
            <w:r w:rsidRPr="00CF5CBE">
              <w:rPr>
                <w:b w:val="0"/>
              </w:rPr>
              <w:t>White</w:t>
            </w:r>
          </w:p>
        </w:tc>
        <w:tc>
          <w:tcPr>
            <w:cnfStyle w:val="000010000000" w:firstRow="0" w:lastRow="0" w:firstColumn="0" w:lastColumn="0" w:oddVBand="1" w:evenVBand="0" w:oddHBand="0" w:evenHBand="0" w:firstRowFirstColumn="0" w:firstRowLastColumn="0" w:lastRowFirstColumn="0" w:lastRowLastColumn="0"/>
            <w:tcW w:w="711" w:type="pct"/>
          </w:tcPr>
          <w:p w14:paraId="7FAB5922" w14:textId="77777777" w:rsidR="0088277E" w:rsidRPr="00DF3678" w:rsidRDefault="0088277E" w:rsidP="0088277E">
            <w:pPr>
              <w:jc w:val="right"/>
            </w:pPr>
            <w:r w:rsidRPr="00DF3678">
              <w:t>386</w:t>
            </w:r>
          </w:p>
        </w:tc>
        <w:tc>
          <w:tcPr>
            <w:tcW w:w="711" w:type="pct"/>
          </w:tcPr>
          <w:p w14:paraId="6B8768AE" w14:textId="77777777" w:rsidR="0088277E" w:rsidRPr="00DF3678" w:rsidRDefault="0088277E" w:rsidP="0088277E">
            <w:pPr>
              <w:jc w:val="right"/>
              <w:cnfStyle w:val="000000100000" w:firstRow="0" w:lastRow="0" w:firstColumn="0" w:lastColumn="0" w:oddVBand="0" w:evenVBand="0" w:oddHBand="1" w:evenHBand="0" w:firstRowFirstColumn="0" w:firstRowLastColumn="0" w:lastRowFirstColumn="0" w:lastRowLastColumn="0"/>
            </w:pPr>
            <w:r w:rsidRPr="00DF3678">
              <w:t>583</w:t>
            </w:r>
          </w:p>
        </w:tc>
        <w:tc>
          <w:tcPr>
            <w:cnfStyle w:val="000010000000" w:firstRow="0" w:lastRow="0" w:firstColumn="0" w:lastColumn="0" w:oddVBand="1" w:evenVBand="0" w:oddHBand="0" w:evenHBand="0" w:firstRowFirstColumn="0" w:firstRowLastColumn="0" w:lastRowFirstColumn="0" w:lastRowLastColumn="0"/>
            <w:tcW w:w="711" w:type="pct"/>
          </w:tcPr>
          <w:p w14:paraId="44C7DAD0" w14:textId="77777777" w:rsidR="0088277E" w:rsidRPr="006625CA" w:rsidRDefault="0088277E" w:rsidP="0088277E">
            <w:pPr>
              <w:jc w:val="right"/>
            </w:pPr>
            <w:r w:rsidRPr="006625CA">
              <w:t>859</w:t>
            </w:r>
          </w:p>
        </w:tc>
        <w:tc>
          <w:tcPr>
            <w:cnfStyle w:val="000100000000" w:firstRow="0" w:lastRow="0" w:firstColumn="0" w:lastColumn="1" w:oddVBand="0" w:evenVBand="0" w:oddHBand="0" w:evenHBand="0" w:firstRowFirstColumn="0" w:firstRowLastColumn="0" w:lastRowFirstColumn="0" w:lastRowLastColumn="0"/>
            <w:tcW w:w="703" w:type="pct"/>
          </w:tcPr>
          <w:p w14:paraId="4222444A" w14:textId="77777777" w:rsidR="0088277E" w:rsidRPr="00DF3678" w:rsidRDefault="0088277E" w:rsidP="0088277E">
            <w:pPr>
              <w:jc w:val="right"/>
              <w:rPr>
                <w:b w:val="0"/>
              </w:rPr>
            </w:pPr>
            <w:r w:rsidRPr="00DF3678">
              <w:rPr>
                <w:b w:val="0"/>
              </w:rPr>
              <w:t>9,632</w:t>
            </w:r>
          </w:p>
        </w:tc>
      </w:tr>
      <w:tr w:rsidR="0088277E" w:rsidRPr="00DF3678" w14:paraId="76DFB0A0" w14:textId="77777777" w:rsidTr="0088277E">
        <w:trPr>
          <w:gridAfter w:val="1"/>
          <w:wAfter w:w="7" w:type="pct"/>
        </w:trPr>
        <w:tc>
          <w:tcPr>
            <w:cnfStyle w:val="001000000000" w:firstRow="0" w:lastRow="0" w:firstColumn="1" w:lastColumn="0" w:oddVBand="0" w:evenVBand="0" w:oddHBand="0" w:evenHBand="0" w:firstRowFirstColumn="0" w:firstRowLastColumn="0" w:lastRowFirstColumn="0" w:lastRowLastColumn="0"/>
            <w:tcW w:w="2156" w:type="pct"/>
          </w:tcPr>
          <w:p w14:paraId="75C13CF0" w14:textId="77777777" w:rsidR="0088277E" w:rsidRPr="00CF5CBE" w:rsidRDefault="0088277E" w:rsidP="0088277E">
            <w:pPr>
              <w:rPr>
                <w:b w:val="0"/>
              </w:rPr>
            </w:pPr>
            <w:r w:rsidRPr="00CF5CBE">
              <w:rPr>
                <w:b w:val="0"/>
              </w:rPr>
              <w:t>Black or African American</w:t>
            </w:r>
          </w:p>
        </w:tc>
        <w:tc>
          <w:tcPr>
            <w:cnfStyle w:val="000010000000" w:firstRow="0" w:lastRow="0" w:firstColumn="0" w:lastColumn="0" w:oddVBand="1" w:evenVBand="0" w:oddHBand="0" w:evenHBand="0" w:firstRowFirstColumn="0" w:firstRowLastColumn="0" w:lastRowFirstColumn="0" w:lastRowLastColumn="0"/>
            <w:tcW w:w="711" w:type="pct"/>
          </w:tcPr>
          <w:p w14:paraId="114BAB7E" w14:textId="77777777" w:rsidR="0088277E" w:rsidRPr="00DF3678" w:rsidRDefault="0088277E" w:rsidP="0088277E">
            <w:pPr>
              <w:jc w:val="right"/>
            </w:pPr>
            <w:r w:rsidRPr="00DF3678">
              <w:t>2</w:t>
            </w:r>
          </w:p>
        </w:tc>
        <w:tc>
          <w:tcPr>
            <w:tcW w:w="711" w:type="pct"/>
          </w:tcPr>
          <w:p w14:paraId="1EFEAE42" w14:textId="77777777" w:rsidR="0088277E" w:rsidRPr="00DF3678" w:rsidRDefault="0088277E" w:rsidP="0088277E">
            <w:pPr>
              <w:jc w:val="right"/>
              <w:cnfStyle w:val="000000000000" w:firstRow="0" w:lastRow="0" w:firstColumn="0" w:lastColumn="0" w:oddVBand="0" w:evenVBand="0" w:oddHBand="0" w:evenHBand="0" w:firstRowFirstColumn="0" w:firstRowLastColumn="0" w:lastRowFirstColumn="0" w:lastRowLastColumn="0"/>
            </w:pPr>
            <w:r w:rsidRPr="00DF3678">
              <w:t>40</w:t>
            </w:r>
          </w:p>
        </w:tc>
        <w:tc>
          <w:tcPr>
            <w:cnfStyle w:val="000010000000" w:firstRow="0" w:lastRow="0" w:firstColumn="0" w:lastColumn="0" w:oddVBand="1" w:evenVBand="0" w:oddHBand="0" w:evenHBand="0" w:firstRowFirstColumn="0" w:firstRowLastColumn="0" w:lastRowFirstColumn="0" w:lastRowLastColumn="0"/>
            <w:tcW w:w="711" w:type="pct"/>
          </w:tcPr>
          <w:p w14:paraId="2B6FD745" w14:textId="77777777" w:rsidR="0088277E" w:rsidRPr="006625CA" w:rsidRDefault="0088277E" w:rsidP="0088277E">
            <w:pPr>
              <w:jc w:val="right"/>
            </w:pPr>
            <w:r w:rsidRPr="006625CA">
              <w:t>168</w:t>
            </w:r>
          </w:p>
        </w:tc>
        <w:tc>
          <w:tcPr>
            <w:cnfStyle w:val="000100000000" w:firstRow="0" w:lastRow="0" w:firstColumn="0" w:lastColumn="1" w:oddVBand="0" w:evenVBand="0" w:oddHBand="0" w:evenHBand="0" w:firstRowFirstColumn="0" w:firstRowLastColumn="0" w:lastRowFirstColumn="0" w:lastRowLastColumn="0"/>
            <w:tcW w:w="703" w:type="pct"/>
          </w:tcPr>
          <w:p w14:paraId="7CA23BDE" w14:textId="77777777" w:rsidR="0088277E" w:rsidRPr="00DF3678" w:rsidRDefault="0088277E" w:rsidP="0088277E">
            <w:pPr>
              <w:jc w:val="right"/>
              <w:rPr>
                <w:b w:val="0"/>
              </w:rPr>
            </w:pPr>
            <w:r w:rsidRPr="00DF3678">
              <w:rPr>
                <w:b w:val="0"/>
              </w:rPr>
              <w:t>2,233</w:t>
            </w:r>
          </w:p>
        </w:tc>
      </w:tr>
      <w:tr w:rsidR="0088277E" w:rsidRPr="00DF3678" w14:paraId="0F7F9978" w14:textId="77777777" w:rsidTr="0088277E">
        <w:trPr>
          <w:gridAfter w:val="1"/>
          <w:cnfStyle w:val="000000100000" w:firstRow="0" w:lastRow="0" w:firstColumn="0" w:lastColumn="0" w:oddVBand="0" w:evenVBand="0" w:oddHBand="1" w:evenHBand="0" w:firstRowFirstColumn="0" w:firstRowLastColumn="0" w:lastRowFirstColumn="0" w:lastRowLastColumn="0"/>
          <w:wAfter w:w="7" w:type="pct"/>
        </w:trPr>
        <w:tc>
          <w:tcPr>
            <w:cnfStyle w:val="001000000000" w:firstRow="0" w:lastRow="0" w:firstColumn="1" w:lastColumn="0" w:oddVBand="0" w:evenVBand="0" w:oddHBand="0" w:evenHBand="0" w:firstRowFirstColumn="0" w:firstRowLastColumn="0" w:lastRowFirstColumn="0" w:lastRowLastColumn="0"/>
            <w:tcW w:w="2156" w:type="pct"/>
          </w:tcPr>
          <w:p w14:paraId="7E87E96D" w14:textId="77777777" w:rsidR="0088277E" w:rsidRPr="00CF5CBE" w:rsidRDefault="0088277E" w:rsidP="0088277E">
            <w:pPr>
              <w:rPr>
                <w:b w:val="0"/>
              </w:rPr>
            </w:pPr>
            <w:r w:rsidRPr="00CF5CBE">
              <w:rPr>
                <w:b w:val="0"/>
              </w:rPr>
              <w:t>Asian</w:t>
            </w:r>
          </w:p>
        </w:tc>
        <w:tc>
          <w:tcPr>
            <w:cnfStyle w:val="000010000000" w:firstRow="0" w:lastRow="0" w:firstColumn="0" w:lastColumn="0" w:oddVBand="1" w:evenVBand="0" w:oddHBand="0" w:evenHBand="0" w:firstRowFirstColumn="0" w:firstRowLastColumn="0" w:lastRowFirstColumn="0" w:lastRowLastColumn="0"/>
            <w:tcW w:w="711" w:type="pct"/>
          </w:tcPr>
          <w:p w14:paraId="3F12EBD1" w14:textId="77777777" w:rsidR="0088277E" w:rsidRPr="00DF3678" w:rsidRDefault="0088277E" w:rsidP="0088277E">
            <w:pPr>
              <w:jc w:val="right"/>
            </w:pPr>
            <w:r w:rsidRPr="00DF3678">
              <w:t>8</w:t>
            </w:r>
          </w:p>
        </w:tc>
        <w:tc>
          <w:tcPr>
            <w:tcW w:w="711" w:type="pct"/>
          </w:tcPr>
          <w:p w14:paraId="53ED7615" w14:textId="77777777" w:rsidR="0088277E" w:rsidRPr="00DF3678" w:rsidRDefault="0088277E" w:rsidP="0088277E">
            <w:pPr>
              <w:jc w:val="right"/>
              <w:cnfStyle w:val="000000100000" w:firstRow="0" w:lastRow="0" w:firstColumn="0" w:lastColumn="0" w:oddVBand="0" w:evenVBand="0" w:oddHBand="1" w:evenHBand="0" w:firstRowFirstColumn="0" w:firstRowLastColumn="0" w:lastRowFirstColumn="0" w:lastRowLastColumn="0"/>
            </w:pPr>
            <w:r w:rsidRPr="00DF3678">
              <w:t>18</w:t>
            </w:r>
          </w:p>
        </w:tc>
        <w:tc>
          <w:tcPr>
            <w:cnfStyle w:val="000010000000" w:firstRow="0" w:lastRow="0" w:firstColumn="0" w:lastColumn="0" w:oddVBand="1" w:evenVBand="0" w:oddHBand="0" w:evenHBand="0" w:firstRowFirstColumn="0" w:firstRowLastColumn="0" w:lastRowFirstColumn="0" w:lastRowLastColumn="0"/>
            <w:tcW w:w="711" w:type="pct"/>
          </w:tcPr>
          <w:p w14:paraId="57D7F691" w14:textId="77777777" w:rsidR="0088277E" w:rsidRPr="006625CA" w:rsidRDefault="0088277E" w:rsidP="0088277E">
            <w:pPr>
              <w:jc w:val="right"/>
            </w:pPr>
            <w:r w:rsidRPr="006625CA">
              <w:t>12</w:t>
            </w:r>
          </w:p>
        </w:tc>
        <w:tc>
          <w:tcPr>
            <w:cnfStyle w:val="000100000000" w:firstRow="0" w:lastRow="0" w:firstColumn="0" w:lastColumn="1" w:oddVBand="0" w:evenVBand="0" w:oddHBand="0" w:evenHBand="0" w:firstRowFirstColumn="0" w:firstRowLastColumn="0" w:lastRowFirstColumn="0" w:lastRowLastColumn="0"/>
            <w:tcW w:w="703" w:type="pct"/>
          </w:tcPr>
          <w:p w14:paraId="131B0AF2" w14:textId="77777777" w:rsidR="0088277E" w:rsidRPr="00DF3678" w:rsidRDefault="0088277E" w:rsidP="0088277E">
            <w:pPr>
              <w:jc w:val="right"/>
              <w:rPr>
                <w:b w:val="0"/>
              </w:rPr>
            </w:pPr>
            <w:r w:rsidRPr="00DF3678">
              <w:rPr>
                <w:b w:val="0"/>
              </w:rPr>
              <w:t>184</w:t>
            </w:r>
          </w:p>
        </w:tc>
      </w:tr>
      <w:tr w:rsidR="0088277E" w:rsidRPr="00DF3678" w14:paraId="37F3032B" w14:textId="77777777" w:rsidTr="0088277E">
        <w:trPr>
          <w:gridAfter w:val="1"/>
          <w:wAfter w:w="7" w:type="pct"/>
        </w:trPr>
        <w:tc>
          <w:tcPr>
            <w:cnfStyle w:val="001000000000" w:firstRow="0" w:lastRow="0" w:firstColumn="1" w:lastColumn="0" w:oddVBand="0" w:evenVBand="0" w:oddHBand="0" w:evenHBand="0" w:firstRowFirstColumn="0" w:firstRowLastColumn="0" w:lastRowFirstColumn="0" w:lastRowLastColumn="0"/>
            <w:tcW w:w="2156" w:type="pct"/>
          </w:tcPr>
          <w:p w14:paraId="2D2F42DF" w14:textId="77777777" w:rsidR="0088277E" w:rsidRPr="00CF5CBE" w:rsidRDefault="0088277E" w:rsidP="0088277E">
            <w:pPr>
              <w:rPr>
                <w:b w:val="0"/>
              </w:rPr>
            </w:pPr>
            <w:r w:rsidRPr="00CF5CBE">
              <w:rPr>
                <w:b w:val="0"/>
              </w:rPr>
              <w:t>American Indian or American Native</w:t>
            </w:r>
          </w:p>
        </w:tc>
        <w:tc>
          <w:tcPr>
            <w:cnfStyle w:val="000010000000" w:firstRow="0" w:lastRow="0" w:firstColumn="0" w:lastColumn="0" w:oddVBand="1" w:evenVBand="0" w:oddHBand="0" w:evenHBand="0" w:firstRowFirstColumn="0" w:firstRowLastColumn="0" w:lastRowFirstColumn="0" w:lastRowLastColumn="0"/>
            <w:tcW w:w="711" w:type="pct"/>
          </w:tcPr>
          <w:p w14:paraId="09253A49" w14:textId="77777777" w:rsidR="0088277E" w:rsidRPr="00DF3678" w:rsidRDefault="0088277E" w:rsidP="0088277E">
            <w:pPr>
              <w:jc w:val="right"/>
            </w:pPr>
            <w:r w:rsidRPr="00DF3678">
              <w:t>11</w:t>
            </w:r>
          </w:p>
        </w:tc>
        <w:tc>
          <w:tcPr>
            <w:tcW w:w="711" w:type="pct"/>
          </w:tcPr>
          <w:p w14:paraId="7439AAC1" w14:textId="77777777" w:rsidR="0088277E" w:rsidRPr="00DF3678" w:rsidRDefault="0088277E" w:rsidP="0088277E">
            <w:pPr>
              <w:jc w:val="right"/>
              <w:cnfStyle w:val="000000000000" w:firstRow="0" w:lastRow="0" w:firstColumn="0" w:lastColumn="0" w:oddVBand="0" w:evenVBand="0" w:oddHBand="0" w:evenHBand="0" w:firstRowFirstColumn="0" w:firstRowLastColumn="0" w:lastRowFirstColumn="0" w:lastRowLastColumn="0"/>
            </w:pPr>
            <w:r w:rsidRPr="00DF3678">
              <w:t>9</w:t>
            </w:r>
          </w:p>
        </w:tc>
        <w:tc>
          <w:tcPr>
            <w:cnfStyle w:val="000010000000" w:firstRow="0" w:lastRow="0" w:firstColumn="0" w:lastColumn="0" w:oddVBand="1" w:evenVBand="0" w:oddHBand="0" w:evenHBand="0" w:firstRowFirstColumn="0" w:firstRowLastColumn="0" w:lastRowFirstColumn="0" w:lastRowLastColumn="0"/>
            <w:tcW w:w="711" w:type="pct"/>
          </w:tcPr>
          <w:p w14:paraId="63589CB5" w14:textId="77777777" w:rsidR="0088277E" w:rsidRPr="006625CA" w:rsidRDefault="0088277E" w:rsidP="0088277E">
            <w:pPr>
              <w:jc w:val="right"/>
            </w:pPr>
            <w:r w:rsidRPr="006625CA">
              <w:t>14</w:t>
            </w:r>
          </w:p>
        </w:tc>
        <w:tc>
          <w:tcPr>
            <w:cnfStyle w:val="000100000000" w:firstRow="0" w:lastRow="0" w:firstColumn="0" w:lastColumn="1" w:oddVBand="0" w:evenVBand="0" w:oddHBand="0" w:evenHBand="0" w:firstRowFirstColumn="0" w:firstRowLastColumn="0" w:lastRowFirstColumn="0" w:lastRowLastColumn="0"/>
            <w:tcW w:w="703" w:type="pct"/>
          </w:tcPr>
          <w:p w14:paraId="5980A97D" w14:textId="77777777" w:rsidR="0088277E" w:rsidRPr="00DF3678" w:rsidRDefault="0088277E" w:rsidP="0088277E">
            <w:pPr>
              <w:jc w:val="right"/>
              <w:rPr>
                <w:b w:val="0"/>
              </w:rPr>
            </w:pPr>
            <w:r w:rsidRPr="00DF3678">
              <w:rPr>
                <w:b w:val="0"/>
              </w:rPr>
              <w:t>425</w:t>
            </w:r>
          </w:p>
        </w:tc>
      </w:tr>
      <w:tr w:rsidR="0088277E" w:rsidRPr="00DF3678" w14:paraId="2FDC1426" w14:textId="77777777" w:rsidTr="0088277E">
        <w:trPr>
          <w:gridAfter w:val="1"/>
          <w:cnfStyle w:val="000000100000" w:firstRow="0" w:lastRow="0" w:firstColumn="0" w:lastColumn="0" w:oddVBand="0" w:evenVBand="0" w:oddHBand="1" w:evenHBand="0" w:firstRowFirstColumn="0" w:firstRowLastColumn="0" w:lastRowFirstColumn="0" w:lastRowLastColumn="0"/>
          <w:wAfter w:w="7" w:type="pct"/>
        </w:trPr>
        <w:tc>
          <w:tcPr>
            <w:cnfStyle w:val="001000000000" w:firstRow="0" w:lastRow="0" w:firstColumn="1" w:lastColumn="0" w:oddVBand="0" w:evenVBand="0" w:oddHBand="0" w:evenHBand="0" w:firstRowFirstColumn="0" w:firstRowLastColumn="0" w:lastRowFirstColumn="0" w:lastRowLastColumn="0"/>
            <w:tcW w:w="2156" w:type="pct"/>
          </w:tcPr>
          <w:p w14:paraId="00CD4B89" w14:textId="77777777" w:rsidR="0088277E" w:rsidRPr="00CF5CBE" w:rsidRDefault="0088277E" w:rsidP="0088277E">
            <w:pPr>
              <w:rPr>
                <w:b w:val="0"/>
              </w:rPr>
            </w:pPr>
            <w:r w:rsidRPr="00CF5CBE">
              <w:rPr>
                <w:b w:val="0"/>
              </w:rPr>
              <w:t>Native Hawaiian or Other Pacific Islander</w:t>
            </w:r>
          </w:p>
        </w:tc>
        <w:tc>
          <w:tcPr>
            <w:cnfStyle w:val="000010000000" w:firstRow="0" w:lastRow="0" w:firstColumn="0" w:lastColumn="0" w:oddVBand="1" w:evenVBand="0" w:oddHBand="0" w:evenHBand="0" w:firstRowFirstColumn="0" w:firstRowLastColumn="0" w:lastRowFirstColumn="0" w:lastRowLastColumn="0"/>
            <w:tcW w:w="711" w:type="pct"/>
          </w:tcPr>
          <w:p w14:paraId="5ED7821C" w14:textId="77777777" w:rsidR="0088277E" w:rsidRPr="00DF3678" w:rsidRDefault="0088277E" w:rsidP="0088277E">
            <w:pPr>
              <w:jc w:val="right"/>
            </w:pPr>
            <w:r w:rsidRPr="00DF3678">
              <w:t>2</w:t>
            </w:r>
          </w:p>
        </w:tc>
        <w:tc>
          <w:tcPr>
            <w:tcW w:w="711" w:type="pct"/>
          </w:tcPr>
          <w:p w14:paraId="0CA766FC" w14:textId="77777777" w:rsidR="0088277E" w:rsidRPr="00DF3678" w:rsidRDefault="0088277E" w:rsidP="0088277E">
            <w:pPr>
              <w:jc w:val="right"/>
              <w:cnfStyle w:val="000000100000" w:firstRow="0" w:lastRow="0" w:firstColumn="0" w:lastColumn="0" w:oddVBand="0" w:evenVBand="0" w:oddHBand="1" w:evenHBand="0" w:firstRowFirstColumn="0" w:firstRowLastColumn="0" w:lastRowFirstColumn="0" w:lastRowLastColumn="0"/>
            </w:pPr>
            <w:r w:rsidRPr="00DF3678">
              <w:t>0</w:t>
            </w:r>
          </w:p>
        </w:tc>
        <w:tc>
          <w:tcPr>
            <w:cnfStyle w:val="000010000000" w:firstRow="0" w:lastRow="0" w:firstColumn="0" w:lastColumn="0" w:oddVBand="1" w:evenVBand="0" w:oddHBand="0" w:evenHBand="0" w:firstRowFirstColumn="0" w:firstRowLastColumn="0" w:lastRowFirstColumn="0" w:lastRowLastColumn="0"/>
            <w:tcW w:w="711" w:type="pct"/>
          </w:tcPr>
          <w:p w14:paraId="0D268553" w14:textId="77777777" w:rsidR="0088277E" w:rsidRPr="006625CA" w:rsidRDefault="0088277E" w:rsidP="0088277E">
            <w:pPr>
              <w:jc w:val="right"/>
            </w:pPr>
            <w:r w:rsidRPr="006625CA">
              <w:t>0</w:t>
            </w:r>
          </w:p>
        </w:tc>
        <w:tc>
          <w:tcPr>
            <w:cnfStyle w:val="000100000000" w:firstRow="0" w:lastRow="0" w:firstColumn="0" w:lastColumn="1" w:oddVBand="0" w:evenVBand="0" w:oddHBand="0" w:evenHBand="0" w:firstRowFirstColumn="0" w:firstRowLastColumn="0" w:lastRowFirstColumn="0" w:lastRowLastColumn="0"/>
            <w:tcW w:w="703" w:type="pct"/>
          </w:tcPr>
          <w:p w14:paraId="19D58856" w14:textId="77777777" w:rsidR="0088277E" w:rsidRPr="00DF3678" w:rsidRDefault="0088277E" w:rsidP="0088277E">
            <w:pPr>
              <w:jc w:val="right"/>
              <w:rPr>
                <w:b w:val="0"/>
              </w:rPr>
            </w:pPr>
            <w:r w:rsidRPr="00DF3678">
              <w:rPr>
                <w:b w:val="0"/>
              </w:rPr>
              <w:t>100</w:t>
            </w:r>
          </w:p>
        </w:tc>
      </w:tr>
      <w:tr w:rsidR="0088277E" w:rsidRPr="00FE6E8C" w14:paraId="0E0B1464" w14:textId="77777777" w:rsidTr="0088277E">
        <w:tc>
          <w:tcPr>
            <w:cnfStyle w:val="001000000000" w:firstRow="0" w:lastRow="0" w:firstColumn="1" w:lastColumn="0" w:oddVBand="0" w:evenVBand="0" w:oddHBand="0" w:evenHBand="0" w:firstRowFirstColumn="0" w:firstRowLastColumn="0" w:lastRowFirstColumn="0" w:lastRowLastColumn="0"/>
            <w:tcW w:w="2156" w:type="pct"/>
            <w:shd w:val="clear" w:color="auto" w:fill="335375" w:themeFill="accent3" w:themeFillShade="BF"/>
          </w:tcPr>
          <w:p w14:paraId="28FDC588" w14:textId="77777777" w:rsidR="0088277E" w:rsidRPr="00CF5CBE" w:rsidRDefault="0088277E" w:rsidP="0088277E">
            <w:r w:rsidRPr="006625CA">
              <w:rPr>
                <w:color w:val="FFFFFF" w:themeColor="background1"/>
              </w:rPr>
              <w:t>Total</w:t>
            </w:r>
            <w:r>
              <w:rPr>
                <w:color w:val="FFFFFF" w:themeColor="background1"/>
              </w:rPr>
              <w:t xml:space="preserve"> </w:t>
            </w:r>
            <w:r w:rsidRPr="006625CA">
              <w:rPr>
                <w:b w:val="0"/>
                <w:i/>
                <w:color w:val="FFFFFF" w:themeColor="background1"/>
              </w:rPr>
              <w:t xml:space="preserve">Racial/Ethnic </w:t>
            </w:r>
            <w:r>
              <w:rPr>
                <w:b w:val="0"/>
                <w:i/>
                <w:color w:val="FFFFFF" w:themeColor="background1"/>
              </w:rPr>
              <w:t>Composition (</w:t>
            </w:r>
            <w:r w:rsidRPr="006625CA">
              <w:rPr>
                <w:b w:val="0"/>
                <w:i/>
                <w:color w:val="FFFFFF" w:themeColor="background1"/>
              </w:rPr>
              <w:t>without Hispanic</w:t>
            </w:r>
            <w:r w:rsidRPr="006625CA">
              <w:rPr>
                <w:b w:val="0"/>
                <w:color w:val="FFFFFF" w:themeColor="background1"/>
              </w:rPr>
              <w:t>)</w:t>
            </w:r>
          </w:p>
        </w:tc>
        <w:tc>
          <w:tcPr>
            <w:cnfStyle w:val="000010000000" w:firstRow="0" w:lastRow="0" w:firstColumn="0" w:lastColumn="0" w:oddVBand="1" w:evenVBand="0" w:oddHBand="0" w:evenHBand="0" w:firstRowFirstColumn="0" w:firstRowLastColumn="0" w:lastRowFirstColumn="0" w:lastRowLastColumn="0"/>
            <w:tcW w:w="711" w:type="pct"/>
            <w:shd w:val="clear" w:color="auto" w:fill="335375" w:themeFill="accent3" w:themeFillShade="BF"/>
          </w:tcPr>
          <w:p w14:paraId="2A8FB013" w14:textId="77777777" w:rsidR="0088277E" w:rsidRPr="00DF3678" w:rsidRDefault="0088277E" w:rsidP="0088277E">
            <w:pPr>
              <w:jc w:val="center"/>
              <w:rPr>
                <w:b/>
              </w:rPr>
            </w:pPr>
            <w:r w:rsidRPr="006625CA">
              <w:rPr>
                <w:b/>
                <w:color w:val="FFFFFF" w:themeColor="background1"/>
              </w:rPr>
              <w:t>409</w:t>
            </w:r>
          </w:p>
        </w:tc>
        <w:tc>
          <w:tcPr>
            <w:tcW w:w="711" w:type="pct"/>
            <w:shd w:val="clear" w:color="auto" w:fill="335375" w:themeFill="accent3" w:themeFillShade="BF"/>
          </w:tcPr>
          <w:p w14:paraId="65628F2F" w14:textId="77777777" w:rsidR="0088277E" w:rsidRPr="006625CA" w:rsidRDefault="0088277E" w:rsidP="0088277E">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625CA">
              <w:rPr>
                <w:b/>
                <w:color w:val="FFFFFF" w:themeColor="background1"/>
              </w:rPr>
              <w:t>650</w:t>
            </w:r>
          </w:p>
        </w:tc>
        <w:tc>
          <w:tcPr>
            <w:cnfStyle w:val="000010000000" w:firstRow="0" w:lastRow="0" w:firstColumn="0" w:lastColumn="0" w:oddVBand="1" w:evenVBand="0" w:oddHBand="0" w:evenHBand="0" w:firstRowFirstColumn="0" w:firstRowLastColumn="0" w:lastRowFirstColumn="0" w:lastRowLastColumn="0"/>
            <w:tcW w:w="711" w:type="pct"/>
            <w:shd w:val="clear" w:color="auto" w:fill="335375" w:themeFill="accent3" w:themeFillShade="BF"/>
          </w:tcPr>
          <w:p w14:paraId="111BE674" w14:textId="77777777" w:rsidR="0088277E" w:rsidRPr="006625CA" w:rsidRDefault="0088277E" w:rsidP="0088277E">
            <w:pPr>
              <w:jc w:val="center"/>
              <w:rPr>
                <w:b/>
                <w:color w:val="FFFFFF" w:themeColor="background1"/>
              </w:rPr>
            </w:pPr>
            <w:r w:rsidRPr="006625CA">
              <w:rPr>
                <w:b/>
                <w:color w:val="FFFFFF" w:themeColor="background1"/>
              </w:rPr>
              <w:t>1,053</w:t>
            </w:r>
          </w:p>
        </w:tc>
        <w:tc>
          <w:tcPr>
            <w:cnfStyle w:val="000100000000" w:firstRow="0" w:lastRow="0" w:firstColumn="0" w:lastColumn="1" w:oddVBand="0" w:evenVBand="0" w:oddHBand="0" w:evenHBand="0" w:firstRowFirstColumn="0" w:firstRowLastColumn="0" w:lastRowFirstColumn="0" w:lastRowLastColumn="0"/>
            <w:tcW w:w="710" w:type="pct"/>
            <w:gridSpan w:val="2"/>
            <w:shd w:val="clear" w:color="auto" w:fill="335375" w:themeFill="accent3" w:themeFillShade="BF"/>
          </w:tcPr>
          <w:p w14:paraId="7664A496" w14:textId="77777777" w:rsidR="0088277E" w:rsidRPr="006625CA" w:rsidRDefault="0088277E" w:rsidP="0088277E">
            <w:pPr>
              <w:jc w:val="center"/>
              <w:rPr>
                <w:color w:val="FFFFFF" w:themeColor="background1"/>
              </w:rPr>
            </w:pPr>
            <w:r w:rsidRPr="006625CA">
              <w:rPr>
                <w:color w:val="FFFFFF" w:themeColor="background1"/>
              </w:rPr>
              <w:t>12,574</w:t>
            </w:r>
          </w:p>
        </w:tc>
      </w:tr>
      <w:tr w:rsidR="0088277E" w:rsidRPr="00FE6E8C" w14:paraId="53E16646" w14:textId="77777777" w:rsidTr="00882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6" w:type="pct"/>
          </w:tcPr>
          <w:p w14:paraId="5A1A0A95" w14:textId="77777777" w:rsidR="0088277E" w:rsidRPr="00CF5CBE" w:rsidRDefault="0088277E" w:rsidP="0088277E">
            <w:pPr>
              <w:rPr>
                <w:b w:val="0"/>
              </w:rPr>
            </w:pPr>
            <w:r w:rsidRPr="00CF5CBE">
              <w:rPr>
                <w:b w:val="0"/>
              </w:rPr>
              <w:t>Hispanic</w:t>
            </w:r>
          </w:p>
        </w:tc>
        <w:tc>
          <w:tcPr>
            <w:cnfStyle w:val="000010000000" w:firstRow="0" w:lastRow="0" w:firstColumn="0" w:lastColumn="0" w:oddVBand="1" w:evenVBand="0" w:oddHBand="0" w:evenHBand="0" w:firstRowFirstColumn="0" w:firstRowLastColumn="0" w:lastRowFirstColumn="0" w:lastRowLastColumn="0"/>
            <w:tcW w:w="711" w:type="pct"/>
          </w:tcPr>
          <w:p w14:paraId="3414D032" w14:textId="77777777" w:rsidR="0088277E" w:rsidRPr="00DF3678" w:rsidRDefault="0088277E" w:rsidP="0088277E">
            <w:pPr>
              <w:jc w:val="right"/>
            </w:pPr>
            <w:r w:rsidRPr="00DF3678">
              <w:t>141</w:t>
            </w:r>
          </w:p>
        </w:tc>
        <w:tc>
          <w:tcPr>
            <w:tcW w:w="711" w:type="pct"/>
          </w:tcPr>
          <w:p w14:paraId="1D83CE61" w14:textId="77777777" w:rsidR="0088277E" w:rsidRPr="00DF3678" w:rsidRDefault="0088277E" w:rsidP="0088277E">
            <w:pPr>
              <w:jc w:val="right"/>
              <w:cnfStyle w:val="000000100000" w:firstRow="0" w:lastRow="0" w:firstColumn="0" w:lastColumn="0" w:oddVBand="0" w:evenVBand="0" w:oddHBand="1" w:evenHBand="0" w:firstRowFirstColumn="0" w:firstRowLastColumn="0" w:lastRowFirstColumn="0" w:lastRowLastColumn="0"/>
            </w:pPr>
            <w:r w:rsidRPr="00DF3678">
              <w:t>305</w:t>
            </w:r>
          </w:p>
        </w:tc>
        <w:tc>
          <w:tcPr>
            <w:cnfStyle w:val="000010000000" w:firstRow="0" w:lastRow="0" w:firstColumn="0" w:lastColumn="0" w:oddVBand="1" w:evenVBand="0" w:oddHBand="0" w:evenHBand="0" w:firstRowFirstColumn="0" w:firstRowLastColumn="0" w:lastRowFirstColumn="0" w:lastRowLastColumn="0"/>
            <w:tcW w:w="711" w:type="pct"/>
          </w:tcPr>
          <w:p w14:paraId="64912C43" w14:textId="77777777" w:rsidR="0088277E" w:rsidRPr="006625CA" w:rsidRDefault="0088277E" w:rsidP="0088277E">
            <w:pPr>
              <w:jc w:val="right"/>
            </w:pPr>
            <w:r w:rsidRPr="006625CA">
              <w:t>611</w:t>
            </w:r>
          </w:p>
        </w:tc>
        <w:tc>
          <w:tcPr>
            <w:cnfStyle w:val="000100000000" w:firstRow="0" w:lastRow="0" w:firstColumn="0" w:lastColumn="1" w:oddVBand="0" w:evenVBand="0" w:oddHBand="0" w:evenHBand="0" w:firstRowFirstColumn="0" w:firstRowLastColumn="0" w:lastRowFirstColumn="0" w:lastRowLastColumn="0"/>
            <w:tcW w:w="710" w:type="pct"/>
            <w:gridSpan w:val="2"/>
          </w:tcPr>
          <w:p w14:paraId="305BFC0E" w14:textId="77777777" w:rsidR="0088277E" w:rsidRPr="00DF3678" w:rsidRDefault="0088277E" w:rsidP="0088277E">
            <w:pPr>
              <w:jc w:val="right"/>
              <w:rPr>
                <w:b w:val="0"/>
              </w:rPr>
            </w:pPr>
            <w:r w:rsidRPr="00DF3678">
              <w:rPr>
                <w:b w:val="0"/>
              </w:rPr>
              <w:t>4,493</w:t>
            </w:r>
          </w:p>
        </w:tc>
      </w:tr>
      <w:tr w:rsidR="0088277E" w:rsidRPr="00FE6E8C" w14:paraId="336F0A93" w14:textId="77777777" w:rsidTr="0088277E">
        <w:tc>
          <w:tcPr>
            <w:cnfStyle w:val="001000000000" w:firstRow="0" w:lastRow="0" w:firstColumn="1" w:lastColumn="0" w:oddVBand="0" w:evenVBand="0" w:oddHBand="0" w:evenHBand="0" w:firstRowFirstColumn="0" w:firstRowLastColumn="0" w:lastRowFirstColumn="0" w:lastRowLastColumn="0"/>
            <w:tcW w:w="2156" w:type="pct"/>
          </w:tcPr>
          <w:p w14:paraId="091D6652" w14:textId="77777777" w:rsidR="0088277E" w:rsidRPr="00CF5CBE" w:rsidRDefault="0088277E" w:rsidP="0088277E">
            <w:pPr>
              <w:rPr>
                <w:b w:val="0"/>
              </w:rPr>
            </w:pPr>
            <w:r w:rsidRPr="00CF5CBE">
              <w:rPr>
                <w:b w:val="0"/>
              </w:rPr>
              <w:t>Not Hispanic</w:t>
            </w:r>
          </w:p>
        </w:tc>
        <w:tc>
          <w:tcPr>
            <w:cnfStyle w:val="000010000000" w:firstRow="0" w:lastRow="0" w:firstColumn="0" w:lastColumn="0" w:oddVBand="1" w:evenVBand="0" w:oddHBand="0" w:evenHBand="0" w:firstRowFirstColumn="0" w:firstRowLastColumn="0" w:lastRowFirstColumn="0" w:lastRowLastColumn="0"/>
            <w:tcW w:w="711" w:type="pct"/>
          </w:tcPr>
          <w:p w14:paraId="47EB17ED" w14:textId="77777777" w:rsidR="0088277E" w:rsidRPr="006625CA" w:rsidRDefault="0088277E" w:rsidP="0088277E">
            <w:pPr>
              <w:jc w:val="right"/>
            </w:pPr>
            <w:r w:rsidRPr="006625CA">
              <w:t>268</w:t>
            </w:r>
          </w:p>
        </w:tc>
        <w:tc>
          <w:tcPr>
            <w:tcW w:w="711" w:type="pct"/>
          </w:tcPr>
          <w:p w14:paraId="2101CB85" w14:textId="77777777" w:rsidR="0088277E" w:rsidRPr="006625CA" w:rsidRDefault="0088277E" w:rsidP="0088277E">
            <w:pPr>
              <w:jc w:val="right"/>
              <w:cnfStyle w:val="000000000000" w:firstRow="0" w:lastRow="0" w:firstColumn="0" w:lastColumn="0" w:oddVBand="0" w:evenVBand="0" w:oddHBand="0" w:evenHBand="0" w:firstRowFirstColumn="0" w:firstRowLastColumn="0" w:lastRowFirstColumn="0" w:lastRowLastColumn="0"/>
            </w:pPr>
            <w:r w:rsidRPr="006625CA">
              <w:t>345</w:t>
            </w:r>
          </w:p>
        </w:tc>
        <w:tc>
          <w:tcPr>
            <w:cnfStyle w:val="000010000000" w:firstRow="0" w:lastRow="0" w:firstColumn="0" w:lastColumn="0" w:oddVBand="1" w:evenVBand="0" w:oddHBand="0" w:evenHBand="0" w:firstRowFirstColumn="0" w:firstRowLastColumn="0" w:lastRowFirstColumn="0" w:lastRowLastColumn="0"/>
            <w:tcW w:w="711" w:type="pct"/>
          </w:tcPr>
          <w:p w14:paraId="5CE980C9" w14:textId="77777777" w:rsidR="0088277E" w:rsidRPr="006625CA" w:rsidRDefault="0088277E" w:rsidP="0088277E">
            <w:pPr>
              <w:jc w:val="right"/>
            </w:pPr>
            <w:r w:rsidRPr="006625CA">
              <w:t>1069</w:t>
            </w:r>
          </w:p>
        </w:tc>
        <w:tc>
          <w:tcPr>
            <w:cnfStyle w:val="000100000000" w:firstRow="0" w:lastRow="0" w:firstColumn="0" w:lastColumn="1" w:oddVBand="0" w:evenVBand="0" w:oddHBand="0" w:evenHBand="0" w:firstRowFirstColumn="0" w:firstRowLastColumn="0" w:lastRowFirstColumn="0" w:lastRowLastColumn="0"/>
            <w:tcW w:w="710" w:type="pct"/>
            <w:gridSpan w:val="2"/>
          </w:tcPr>
          <w:p w14:paraId="04FE8633" w14:textId="77777777" w:rsidR="0088277E" w:rsidRPr="006625CA" w:rsidRDefault="0088277E" w:rsidP="0088277E">
            <w:pPr>
              <w:jc w:val="right"/>
              <w:rPr>
                <w:b w:val="0"/>
              </w:rPr>
            </w:pPr>
            <w:r w:rsidRPr="006625CA">
              <w:rPr>
                <w:b w:val="0"/>
              </w:rPr>
              <w:t>8,081</w:t>
            </w:r>
          </w:p>
        </w:tc>
      </w:tr>
      <w:tr w:rsidR="0088277E" w:rsidRPr="00FE6E8C" w14:paraId="1348A1A9" w14:textId="77777777" w:rsidTr="0088277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56" w:type="pct"/>
            <w:shd w:val="clear" w:color="auto" w:fill="335375" w:themeFill="accent3" w:themeFillShade="BF"/>
          </w:tcPr>
          <w:p w14:paraId="45F57E25" w14:textId="77777777" w:rsidR="0088277E" w:rsidRPr="006625CA" w:rsidRDefault="0088277E" w:rsidP="0088277E">
            <w:pPr>
              <w:rPr>
                <w:b w:val="0"/>
                <w:i/>
                <w:color w:val="FFFFFF" w:themeColor="background1"/>
              </w:rPr>
            </w:pPr>
            <w:r>
              <w:rPr>
                <w:color w:val="FFFFFF" w:themeColor="background1"/>
              </w:rPr>
              <w:t xml:space="preserve">Total </w:t>
            </w:r>
            <w:r>
              <w:rPr>
                <w:b w:val="0"/>
                <w:i/>
                <w:color w:val="FFFFFF" w:themeColor="background1"/>
              </w:rPr>
              <w:t>Hispanic and Not Hispanic</w:t>
            </w:r>
          </w:p>
        </w:tc>
        <w:tc>
          <w:tcPr>
            <w:cnfStyle w:val="000010000000" w:firstRow="0" w:lastRow="0" w:firstColumn="0" w:lastColumn="0" w:oddVBand="1" w:evenVBand="0" w:oddHBand="0" w:evenHBand="0" w:firstRowFirstColumn="0" w:firstRowLastColumn="0" w:lastRowFirstColumn="0" w:lastRowLastColumn="0"/>
            <w:tcW w:w="711" w:type="pct"/>
            <w:shd w:val="clear" w:color="auto" w:fill="335375" w:themeFill="accent3" w:themeFillShade="BF"/>
          </w:tcPr>
          <w:p w14:paraId="75F53BFD" w14:textId="77777777" w:rsidR="0088277E" w:rsidRPr="006625CA" w:rsidRDefault="0088277E" w:rsidP="0088277E">
            <w:pPr>
              <w:jc w:val="right"/>
              <w:rPr>
                <w:color w:val="FFFFFF" w:themeColor="background1"/>
              </w:rPr>
            </w:pPr>
            <w:r w:rsidRPr="006625CA">
              <w:rPr>
                <w:color w:val="FFFFFF" w:themeColor="background1"/>
              </w:rPr>
              <w:t>409</w:t>
            </w:r>
          </w:p>
        </w:tc>
        <w:tc>
          <w:tcPr>
            <w:tcW w:w="711" w:type="pct"/>
            <w:shd w:val="clear" w:color="auto" w:fill="335375" w:themeFill="accent3" w:themeFillShade="BF"/>
          </w:tcPr>
          <w:p w14:paraId="5C0B3DFD" w14:textId="77777777" w:rsidR="0088277E" w:rsidRPr="006625CA" w:rsidRDefault="0088277E" w:rsidP="0088277E">
            <w:pPr>
              <w:jc w:val="right"/>
              <w:cnfStyle w:val="010000000000" w:firstRow="0" w:lastRow="1" w:firstColumn="0" w:lastColumn="0" w:oddVBand="0" w:evenVBand="0" w:oddHBand="0" w:evenHBand="0" w:firstRowFirstColumn="0" w:firstRowLastColumn="0" w:lastRowFirstColumn="0" w:lastRowLastColumn="0"/>
              <w:rPr>
                <w:color w:val="FFFFFF" w:themeColor="background1"/>
              </w:rPr>
            </w:pPr>
            <w:r w:rsidRPr="006625CA">
              <w:rPr>
                <w:color w:val="FFFFFF" w:themeColor="background1"/>
              </w:rPr>
              <w:t>650</w:t>
            </w:r>
          </w:p>
        </w:tc>
        <w:tc>
          <w:tcPr>
            <w:cnfStyle w:val="000010000000" w:firstRow="0" w:lastRow="0" w:firstColumn="0" w:lastColumn="0" w:oddVBand="1" w:evenVBand="0" w:oddHBand="0" w:evenHBand="0" w:firstRowFirstColumn="0" w:firstRowLastColumn="0" w:lastRowFirstColumn="0" w:lastRowLastColumn="0"/>
            <w:tcW w:w="711" w:type="pct"/>
            <w:shd w:val="clear" w:color="auto" w:fill="335375" w:themeFill="accent3" w:themeFillShade="BF"/>
          </w:tcPr>
          <w:p w14:paraId="3655EE19" w14:textId="77777777" w:rsidR="0088277E" w:rsidRPr="006625CA" w:rsidRDefault="0088277E" w:rsidP="0088277E">
            <w:pPr>
              <w:jc w:val="right"/>
              <w:rPr>
                <w:color w:val="FFFFFF" w:themeColor="background1"/>
              </w:rPr>
            </w:pPr>
            <w:r w:rsidRPr="006625CA">
              <w:rPr>
                <w:color w:val="FFFFFF" w:themeColor="background1"/>
              </w:rPr>
              <w:t>1680</w:t>
            </w:r>
          </w:p>
        </w:tc>
        <w:tc>
          <w:tcPr>
            <w:cnfStyle w:val="000100000010" w:firstRow="0" w:lastRow="0" w:firstColumn="0" w:lastColumn="1" w:oddVBand="0" w:evenVBand="0" w:oddHBand="0" w:evenHBand="0" w:firstRowFirstColumn="0" w:firstRowLastColumn="0" w:lastRowFirstColumn="0" w:lastRowLastColumn="1"/>
            <w:tcW w:w="710" w:type="pct"/>
            <w:gridSpan w:val="2"/>
            <w:shd w:val="clear" w:color="auto" w:fill="335375" w:themeFill="accent3" w:themeFillShade="BF"/>
          </w:tcPr>
          <w:p w14:paraId="199C1119" w14:textId="77777777" w:rsidR="0088277E" w:rsidRPr="006625CA" w:rsidRDefault="0088277E" w:rsidP="0088277E">
            <w:pPr>
              <w:jc w:val="right"/>
              <w:rPr>
                <w:color w:val="FFFFFF" w:themeColor="background1"/>
              </w:rPr>
            </w:pPr>
            <w:r w:rsidRPr="006625CA">
              <w:rPr>
                <w:color w:val="FFFFFF" w:themeColor="background1"/>
              </w:rPr>
              <w:t>12,574</w:t>
            </w:r>
          </w:p>
        </w:tc>
      </w:tr>
    </w:tbl>
    <w:p w14:paraId="3191353C" w14:textId="77777777" w:rsidR="0091692E" w:rsidRDefault="00D961C6" w:rsidP="00D961C6">
      <w:pPr>
        <w:jc w:val="center"/>
        <w:rPr>
          <w:rFonts w:cs="Arial"/>
          <w:b/>
          <w:sz w:val="16"/>
        </w:rPr>
      </w:pPr>
      <w:r w:rsidRPr="00D961C6">
        <w:rPr>
          <w:rFonts w:cs="Arial"/>
          <w:b/>
          <w:sz w:val="16"/>
        </w:rPr>
        <w:t xml:space="preserve">Table </w:t>
      </w:r>
      <w:r w:rsidRPr="00D961C6">
        <w:rPr>
          <w:rFonts w:cs="Arial"/>
          <w:b/>
          <w:sz w:val="16"/>
        </w:rPr>
        <w:fldChar w:fldCharType="begin"/>
      </w:r>
      <w:r w:rsidRPr="00D961C6">
        <w:rPr>
          <w:rFonts w:cs="Arial"/>
          <w:b/>
          <w:sz w:val="16"/>
        </w:rPr>
        <w:instrText xml:space="preserve"> SEQ Table \* ARABIC </w:instrText>
      </w:r>
      <w:r w:rsidRPr="00D961C6">
        <w:rPr>
          <w:rFonts w:cs="Arial"/>
          <w:b/>
          <w:sz w:val="16"/>
        </w:rPr>
        <w:fldChar w:fldCharType="separate"/>
      </w:r>
      <w:r w:rsidR="00AA534C">
        <w:rPr>
          <w:rFonts w:cs="Arial"/>
          <w:b/>
          <w:noProof/>
          <w:sz w:val="16"/>
        </w:rPr>
        <w:t>2</w:t>
      </w:r>
      <w:r w:rsidRPr="00D961C6">
        <w:rPr>
          <w:rFonts w:cs="Arial"/>
          <w:b/>
          <w:sz w:val="16"/>
        </w:rPr>
        <w:fldChar w:fldCharType="end"/>
      </w:r>
      <w:r w:rsidRPr="00D961C6">
        <w:rPr>
          <w:rFonts w:cs="Arial"/>
          <w:b/>
          <w:sz w:val="16"/>
        </w:rPr>
        <w:t xml:space="preserve"> – Table of assistance to racial and ethnic populations by source of funds</w:t>
      </w:r>
    </w:p>
    <w:p w14:paraId="2AB41245" w14:textId="77777777" w:rsidR="002C6471" w:rsidRPr="00925690" w:rsidRDefault="002C6471" w:rsidP="0086728C">
      <w:pPr>
        <w:jc w:val="center"/>
        <w:rPr>
          <w:rFonts w:cs="Arial"/>
          <w:b/>
          <w:color w:val="FF33CC"/>
          <w:sz w:val="16"/>
        </w:rPr>
      </w:pPr>
    </w:p>
    <w:p w14:paraId="592DA1E1" w14:textId="77777777" w:rsidR="00CC0660" w:rsidRPr="00CC0660" w:rsidRDefault="00CC0660" w:rsidP="00CC0660">
      <w:pPr>
        <w:keepNext/>
        <w:spacing w:after="200" w:line="276" w:lineRule="auto"/>
        <w:rPr>
          <w:rFonts w:eastAsia="Calibri" w:cs="Arial"/>
          <w:b/>
          <w:bCs/>
          <w:szCs w:val="24"/>
          <w:u w:val="single"/>
        </w:rPr>
      </w:pPr>
      <w:r w:rsidRPr="00CC0660">
        <w:rPr>
          <w:rFonts w:eastAsia="Times New Roman" w:cs="Arial"/>
          <w:b/>
          <w:bCs/>
          <w:szCs w:val="24"/>
          <w:u w:val="single"/>
        </w:rPr>
        <w:t>Describe the families assisted (including the racial and ethnic status of families assisted</w:t>
      </w:r>
    </w:p>
    <w:p w14:paraId="46A81326" w14:textId="77777777" w:rsidR="00CC0660" w:rsidRPr="002C365A" w:rsidRDefault="00CC0660" w:rsidP="00CC0660">
      <w:pPr>
        <w:widowControl w:val="0"/>
        <w:spacing w:before="100" w:beforeAutospacing="1" w:after="100" w:afterAutospacing="1"/>
      </w:pPr>
      <w:r w:rsidRPr="004D2AA5">
        <w:t>In F</w:t>
      </w:r>
      <w:r>
        <w:t xml:space="preserve">iscal </w:t>
      </w:r>
      <w:r w:rsidRPr="004D2AA5">
        <w:t>Y</w:t>
      </w:r>
      <w:r>
        <w:t>ear</w:t>
      </w:r>
      <w:r w:rsidRPr="004D2AA5">
        <w:t xml:space="preserve"> 2016-</w:t>
      </w:r>
      <w:r>
        <w:t>20</w:t>
      </w:r>
      <w:r w:rsidRPr="004D2AA5">
        <w:t>17</w:t>
      </w:r>
      <w:r>
        <w:t xml:space="preserve"> (FY 2016-17)</w:t>
      </w:r>
      <w:r w:rsidR="00E17F11">
        <w:t>,</w:t>
      </w:r>
      <w:r w:rsidRPr="004D2AA5">
        <w:t xml:space="preserve"> the largest racial and ethnic groups served were Whites and Non-Hispanics, although </w:t>
      </w:r>
      <w:r w:rsidR="00DB10E9">
        <w:t xml:space="preserve">HOPWA and ESG </w:t>
      </w:r>
      <w:r w:rsidRPr="004D2AA5">
        <w:t xml:space="preserve">programs served a significant percentage of Hispanics, Blacks or African Americans, and American Indian or American Natives. </w:t>
      </w:r>
      <w:r>
        <w:t xml:space="preserve"> </w:t>
      </w:r>
      <w:r w:rsidRPr="004D2AA5">
        <w:t xml:space="preserve">According to the Department’s 2012 </w:t>
      </w:r>
      <w:r>
        <w:t>Analysis of Impediments (</w:t>
      </w:r>
      <w:r w:rsidRPr="004D2AA5">
        <w:t>AI</w:t>
      </w:r>
      <w:r>
        <w:t>)</w:t>
      </w:r>
      <w:r w:rsidRPr="004D2AA5">
        <w:t xml:space="preserve">, </w:t>
      </w:r>
      <w:r w:rsidR="00DB10E9">
        <w:t>W</w:t>
      </w:r>
      <w:r w:rsidRPr="004D2AA5">
        <w:t xml:space="preserve">hites are a greater percentage of the total population of CDBG and HOME-eligible (non-entitlement) jurisdictions than are </w:t>
      </w:r>
      <w:r>
        <w:t>m</w:t>
      </w:r>
      <w:r w:rsidRPr="004D2AA5">
        <w:t xml:space="preserve">inorities, so the above data is somewhat consistent with this trend; however, the programs will continue to work with its grantees to increase service to racial and ethnic minorities to help Affirmatively Further Fair </w:t>
      </w:r>
      <w:r w:rsidRPr="002C365A">
        <w:t>Housing (AFFH).</w:t>
      </w:r>
    </w:p>
    <w:p w14:paraId="38F36D8D" w14:textId="77777777" w:rsidR="00CF5CBE" w:rsidRDefault="00CC0660" w:rsidP="00CC0660">
      <w:pPr>
        <w:rPr>
          <w:b/>
          <w:bCs/>
          <w:color w:val="335375" w:themeColor="accent3" w:themeShade="BF"/>
          <w:sz w:val="28"/>
          <w:u w:val="single"/>
        </w:rPr>
      </w:pPr>
      <w:r w:rsidRPr="002C365A">
        <w:rPr>
          <w:rFonts w:eastAsia="Calibri" w:cs="Arial"/>
          <w:b/>
          <w:bCs/>
          <w:szCs w:val="24"/>
        </w:rPr>
        <w:t>HOPWA</w:t>
      </w:r>
      <w:r w:rsidRPr="002C365A">
        <w:rPr>
          <w:rFonts w:eastAsia="Calibri" w:cs="Arial"/>
          <w:bCs/>
          <w:szCs w:val="24"/>
        </w:rPr>
        <w:t xml:space="preserve">: </w:t>
      </w:r>
      <w:r w:rsidRPr="00B16FB6">
        <w:rPr>
          <w:rFonts w:eastAsia="Calibri" w:cs="Arial"/>
          <w:bCs/>
          <w:szCs w:val="24"/>
        </w:rPr>
        <w:t xml:space="preserve">Housing Opportunities for Persons with AIDS (HOPWA) race and ethnicity data is collected based on five single-race categories and five multi-race categories.  </w:t>
      </w:r>
      <w:r w:rsidRPr="003E6342">
        <w:rPr>
          <w:rFonts w:eastAsia="Calibri" w:cs="Arial"/>
          <w:bCs/>
          <w:szCs w:val="24"/>
        </w:rPr>
        <w:t xml:space="preserve">Data collected based on these ten categories cannot be rolled into the five single-race categories as required in the above table.  In addition to the </w:t>
      </w:r>
      <w:r w:rsidRPr="003E6342">
        <w:rPr>
          <w:rFonts w:eastAsia="Calibri" w:cs="Arial"/>
          <w:b/>
          <w:bCs/>
          <w:szCs w:val="24"/>
        </w:rPr>
        <w:t>1069</w:t>
      </w:r>
      <w:r w:rsidRPr="003E6342">
        <w:rPr>
          <w:rFonts w:eastAsia="Calibri" w:cs="Arial"/>
          <w:bCs/>
          <w:szCs w:val="24"/>
        </w:rPr>
        <w:t xml:space="preserve"> reported above, there are an additional </w:t>
      </w:r>
      <w:r w:rsidRPr="003E6342">
        <w:rPr>
          <w:rFonts w:eastAsia="Calibri" w:cs="Arial"/>
          <w:b/>
          <w:bCs/>
          <w:szCs w:val="24"/>
        </w:rPr>
        <w:t>111</w:t>
      </w:r>
      <w:r w:rsidRPr="003E6342">
        <w:rPr>
          <w:rFonts w:eastAsia="Calibri" w:cs="Arial"/>
          <w:bCs/>
          <w:szCs w:val="24"/>
        </w:rPr>
        <w:t xml:space="preserve"> beneficiaries served for a total of</w:t>
      </w:r>
      <w:r w:rsidRPr="003E6342">
        <w:rPr>
          <w:rFonts w:eastAsia="Calibri" w:cs="Arial"/>
          <w:b/>
          <w:bCs/>
          <w:szCs w:val="24"/>
        </w:rPr>
        <w:t xml:space="preserve"> 1180</w:t>
      </w:r>
      <w:r w:rsidRPr="003E6342">
        <w:rPr>
          <w:rFonts w:eastAsia="Calibri" w:cs="Arial"/>
          <w:bCs/>
          <w:szCs w:val="24"/>
        </w:rPr>
        <w:t>.  A breakout of the total race and ethnicity is</w:t>
      </w:r>
      <w:r w:rsidRPr="00B16FB6">
        <w:rPr>
          <w:rFonts w:eastAsia="Calibri" w:cs="Arial"/>
          <w:bCs/>
          <w:szCs w:val="24"/>
        </w:rPr>
        <w:t xml:space="preserve"> included in the</w:t>
      </w:r>
      <w:r w:rsidRPr="00B16FB6">
        <w:rPr>
          <w:rFonts w:eastAsia="Calibri" w:cs="Arial"/>
          <w:b/>
          <w:bCs/>
          <w:szCs w:val="24"/>
        </w:rPr>
        <w:t xml:space="preserve"> </w:t>
      </w:r>
      <w:hyperlink r:id="rId10" w:history="1">
        <w:r w:rsidRPr="002C365A">
          <w:rPr>
            <w:rStyle w:val="Hyperlink"/>
            <w:rFonts w:eastAsia="Calibri" w:cs="Arial"/>
            <w:color w:val="0000FF"/>
            <w:szCs w:val="24"/>
          </w:rPr>
          <w:t xml:space="preserve">form </w:t>
        </w:r>
        <w:r>
          <w:rPr>
            <w:rStyle w:val="Hyperlink"/>
            <w:rFonts w:eastAsia="Calibri" w:cs="Arial"/>
            <w:color w:val="0000FF"/>
            <w:szCs w:val="24"/>
          </w:rPr>
          <w:t>H</w:t>
        </w:r>
        <w:r w:rsidRPr="002C365A">
          <w:rPr>
            <w:rStyle w:val="Hyperlink"/>
            <w:rFonts w:eastAsia="Calibri" w:cs="Arial"/>
            <w:color w:val="0000FF"/>
            <w:szCs w:val="24"/>
          </w:rPr>
          <w:t>ud-40110-d</w:t>
        </w:r>
      </w:hyperlink>
      <w:r w:rsidRPr="00B16FB6">
        <w:rPr>
          <w:rFonts w:eastAsia="Calibri" w:cs="Arial"/>
          <w:szCs w:val="24"/>
        </w:rPr>
        <w:t xml:space="preserve"> and attached as Appendix A to this report.</w:t>
      </w:r>
      <w:r w:rsidR="00CF5CBE">
        <w:rPr>
          <w:b/>
          <w:bCs/>
          <w:color w:val="335375" w:themeColor="accent3" w:themeShade="BF"/>
          <w:sz w:val="28"/>
          <w:u w:val="single"/>
        </w:rPr>
        <w:br w:type="page"/>
      </w:r>
    </w:p>
    <w:p w14:paraId="6DBE7E68" w14:textId="77777777" w:rsidR="0091692E" w:rsidRPr="00936F6D" w:rsidRDefault="0091692E" w:rsidP="0086728C">
      <w:pPr>
        <w:jc w:val="center"/>
        <w:rPr>
          <w:u w:val="single"/>
        </w:rPr>
      </w:pPr>
      <w:r w:rsidRPr="00936F6D">
        <w:rPr>
          <w:b/>
          <w:bCs/>
          <w:color w:val="335375" w:themeColor="accent3" w:themeShade="BF"/>
          <w:sz w:val="28"/>
          <w:u w:val="single"/>
        </w:rPr>
        <w:lastRenderedPageBreak/>
        <w:t>CR-15 Resources and Investments</w:t>
      </w:r>
    </w:p>
    <w:p w14:paraId="400440DC" w14:textId="77777777" w:rsidR="0091692E" w:rsidRPr="00CF5CBE" w:rsidRDefault="0091692E" w:rsidP="0091692E">
      <w:pPr>
        <w:rPr>
          <w:i/>
          <w:color w:val="87A9CB" w:themeColor="accent3" w:themeTint="99"/>
        </w:rPr>
      </w:pPr>
      <w:r w:rsidRPr="00936F6D">
        <w:rPr>
          <w:i/>
          <w:color w:val="87A9CB" w:themeColor="accent3" w:themeTint="99"/>
        </w:rPr>
        <w:t>Regulation Citation(s): 24 CFR 91.520(a)</w:t>
      </w:r>
    </w:p>
    <w:p w14:paraId="7E39131B" w14:textId="77777777" w:rsidR="00087BA0" w:rsidRPr="0031344F" w:rsidRDefault="00087BA0" w:rsidP="00087BA0">
      <w:pPr>
        <w:keepNext/>
        <w:widowControl w:val="0"/>
        <w:spacing w:after="0" w:line="240" w:lineRule="auto"/>
        <w:rPr>
          <w:b/>
          <w:szCs w:val="24"/>
          <w:u w:val="single"/>
        </w:rPr>
      </w:pPr>
      <w:r w:rsidRPr="0031344F">
        <w:rPr>
          <w:b/>
          <w:szCs w:val="24"/>
          <w:u w:val="single"/>
        </w:rPr>
        <w:t>Identify the resources made available</w:t>
      </w:r>
    </w:p>
    <w:p w14:paraId="6330E802" w14:textId="6FB3E962" w:rsidR="001D536F" w:rsidRPr="001D536F" w:rsidRDefault="001D536F" w:rsidP="003E6342">
      <w:pPr>
        <w:widowControl w:val="0"/>
        <w:spacing w:after="100" w:afterAutospacing="1"/>
        <w:rPr>
          <w:i/>
          <w:color w:val="FF0000"/>
        </w:rPr>
      </w:pPr>
    </w:p>
    <w:tbl>
      <w:tblPr>
        <w:tblStyle w:val="GridTable4-Accent3"/>
        <w:tblW w:w="5000" w:type="pct"/>
        <w:tblLook w:val="01E0" w:firstRow="1" w:lastRow="1" w:firstColumn="1" w:lastColumn="1" w:noHBand="0" w:noVBand="0"/>
      </w:tblPr>
      <w:tblGrid>
        <w:gridCol w:w="3190"/>
        <w:gridCol w:w="4820"/>
        <w:gridCol w:w="3190"/>
        <w:gridCol w:w="3190"/>
      </w:tblGrid>
      <w:tr w:rsidR="0091692E" w:rsidRPr="0091692E" w14:paraId="3B57AF42" w14:textId="77777777" w:rsidTr="00D96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14:paraId="66419022" w14:textId="77777777" w:rsidR="0091692E" w:rsidRPr="0091692E" w:rsidRDefault="0091692E" w:rsidP="00D961C6">
            <w:pPr>
              <w:spacing w:after="160" w:line="259" w:lineRule="auto"/>
              <w:jc w:val="center"/>
            </w:pPr>
            <w:r w:rsidRPr="0091692E">
              <w:t>Source of Funds</w:t>
            </w:r>
          </w:p>
        </w:tc>
        <w:tc>
          <w:tcPr>
            <w:cnfStyle w:val="000010000000" w:firstRow="0" w:lastRow="0" w:firstColumn="0" w:lastColumn="0" w:oddVBand="1" w:evenVBand="0" w:oddHBand="0" w:evenHBand="0" w:firstRowFirstColumn="0" w:firstRowLastColumn="0" w:lastRowFirstColumn="0" w:lastRowLastColumn="0"/>
            <w:tcW w:w="2394" w:type="dxa"/>
            <w:vAlign w:val="center"/>
          </w:tcPr>
          <w:p w14:paraId="7C434868" w14:textId="77777777" w:rsidR="0091692E" w:rsidRPr="0091692E" w:rsidRDefault="0091692E" w:rsidP="00D961C6">
            <w:pPr>
              <w:spacing w:after="160" w:line="259" w:lineRule="auto"/>
              <w:jc w:val="center"/>
            </w:pPr>
            <w:r w:rsidRPr="0091692E">
              <w:t>Source</w:t>
            </w:r>
          </w:p>
        </w:tc>
        <w:tc>
          <w:tcPr>
            <w:tcW w:w="2394" w:type="dxa"/>
            <w:vAlign w:val="center"/>
          </w:tcPr>
          <w:p w14:paraId="3C3DB8BD" w14:textId="77777777" w:rsidR="0091692E" w:rsidRPr="0091692E" w:rsidRDefault="0091692E" w:rsidP="00D961C6">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91692E">
              <w:t>Resources Made Available</w:t>
            </w:r>
          </w:p>
        </w:tc>
        <w:tc>
          <w:tcPr>
            <w:cnfStyle w:val="000100000000" w:firstRow="0" w:lastRow="0" w:firstColumn="0" w:lastColumn="1" w:oddVBand="0" w:evenVBand="0" w:oddHBand="0" w:evenHBand="0" w:firstRowFirstColumn="0" w:firstRowLastColumn="0" w:lastRowFirstColumn="0" w:lastRowLastColumn="0"/>
            <w:tcW w:w="2394" w:type="dxa"/>
            <w:vAlign w:val="center"/>
          </w:tcPr>
          <w:p w14:paraId="26E50759" w14:textId="77777777" w:rsidR="0091692E" w:rsidRPr="0091692E" w:rsidRDefault="0091692E" w:rsidP="00D961C6">
            <w:pPr>
              <w:spacing w:after="160" w:line="259" w:lineRule="auto"/>
              <w:jc w:val="center"/>
            </w:pPr>
            <w:r w:rsidRPr="0091692E">
              <w:t>Amount Expended During Program Year</w:t>
            </w:r>
          </w:p>
        </w:tc>
      </w:tr>
      <w:tr w:rsidR="0091692E" w:rsidRPr="0091692E" w14:paraId="276CFE9E" w14:textId="77777777" w:rsidTr="00D96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EB4D38" w14:textId="77777777" w:rsidR="0091692E" w:rsidRPr="0091692E" w:rsidRDefault="0091692E" w:rsidP="0091692E">
            <w:pPr>
              <w:spacing w:after="160" w:line="259" w:lineRule="auto"/>
            </w:pPr>
            <w:r w:rsidRPr="0091692E">
              <w:t>CDBG</w:t>
            </w:r>
          </w:p>
        </w:tc>
        <w:tc>
          <w:tcPr>
            <w:cnfStyle w:val="000010000000" w:firstRow="0" w:lastRow="0" w:firstColumn="0" w:lastColumn="0" w:oddVBand="1" w:evenVBand="0" w:oddHBand="0" w:evenHBand="0" w:firstRowFirstColumn="0" w:firstRowLastColumn="0" w:lastRowFirstColumn="0" w:lastRowLastColumn="0"/>
            <w:tcW w:w="0" w:type="auto"/>
          </w:tcPr>
          <w:p w14:paraId="36FE39CE" w14:textId="77777777" w:rsidR="0091692E" w:rsidRPr="0091692E" w:rsidRDefault="0091692E" w:rsidP="0091692E">
            <w:pPr>
              <w:spacing w:after="160" w:line="259" w:lineRule="auto"/>
            </w:pPr>
            <w:r w:rsidRPr="0091692E">
              <w:t xml:space="preserve"> </w:t>
            </w:r>
            <w:r w:rsidR="002C365A">
              <w:t>N/A</w:t>
            </w:r>
          </w:p>
        </w:tc>
        <w:tc>
          <w:tcPr>
            <w:tcW w:w="0" w:type="auto"/>
            <w:vAlign w:val="center"/>
          </w:tcPr>
          <w:p w14:paraId="51FC7338" w14:textId="77777777" w:rsidR="0091692E" w:rsidRPr="00DF3678" w:rsidRDefault="002C365A" w:rsidP="00DF3678">
            <w:pPr>
              <w:spacing w:after="160" w:line="259" w:lineRule="auto"/>
              <w:jc w:val="right"/>
              <w:cnfStyle w:val="000000100000" w:firstRow="0" w:lastRow="0" w:firstColumn="0" w:lastColumn="0" w:oddVBand="0" w:evenVBand="0" w:oddHBand="1" w:evenHBand="0" w:firstRowFirstColumn="0" w:firstRowLastColumn="0" w:lastRowFirstColumn="0" w:lastRowLastColumn="0"/>
            </w:pPr>
            <w:r w:rsidRPr="00DF3678">
              <w:t>$</w:t>
            </w:r>
            <w:r w:rsidR="00DF3678" w:rsidRPr="00DF3678">
              <w:t>37,834,660</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5CDD0DF3" w14:textId="77777777" w:rsidR="0091692E" w:rsidRPr="005D70CF" w:rsidRDefault="002C365A" w:rsidP="008B15DA">
            <w:pPr>
              <w:spacing w:after="160" w:line="259" w:lineRule="auto"/>
              <w:jc w:val="right"/>
              <w:rPr>
                <w:b w:val="0"/>
              </w:rPr>
            </w:pPr>
            <w:r w:rsidRPr="005D70CF">
              <w:rPr>
                <w:b w:val="0"/>
              </w:rPr>
              <w:t>$</w:t>
            </w:r>
            <w:r w:rsidR="008B15DA" w:rsidRPr="005D70CF">
              <w:rPr>
                <w:b w:val="0"/>
              </w:rPr>
              <w:t>46,542,099</w:t>
            </w:r>
          </w:p>
        </w:tc>
      </w:tr>
      <w:tr w:rsidR="0091692E" w:rsidRPr="0091692E" w14:paraId="37858BE8" w14:textId="77777777" w:rsidTr="00D961C6">
        <w:tc>
          <w:tcPr>
            <w:cnfStyle w:val="001000000000" w:firstRow="0" w:lastRow="0" w:firstColumn="1" w:lastColumn="0" w:oddVBand="0" w:evenVBand="0" w:oddHBand="0" w:evenHBand="0" w:firstRowFirstColumn="0" w:firstRowLastColumn="0" w:lastRowFirstColumn="0" w:lastRowLastColumn="0"/>
            <w:tcW w:w="0" w:type="auto"/>
          </w:tcPr>
          <w:p w14:paraId="1B70B6FC" w14:textId="77777777" w:rsidR="0091692E" w:rsidRPr="0091692E" w:rsidRDefault="0091692E" w:rsidP="0091692E">
            <w:pPr>
              <w:spacing w:after="160" w:line="259" w:lineRule="auto"/>
            </w:pPr>
            <w:r w:rsidRPr="0091692E">
              <w:t>HOME</w:t>
            </w:r>
          </w:p>
        </w:tc>
        <w:tc>
          <w:tcPr>
            <w:cnfStyle w:val="000010000000" w:firstRow="0" w:lastRow="0" w:firstColumn="0" w:lastColumn="0" w:oddVBand="1" w:evenVBand="0" w:oddHBand="0" w:evenHBand="0" w:firstRowFirstColumn="0" w:firstRowLastColumn="0" w:lastRowFirstColumn="0" w:lastRowLastColumn="0"/>
            <w:tcW w:w="0" w:type="auto"/>
          </w:tcPr>
          <w:p w14:paraId="4E28B53E" w14:textId="77777777" w:rsidR="0091692E" w:rsidRPr="0091692E" w:rsidRDefault="0091692E" w:rsidP="0091692E">
            <w:pPr>
              <w:spacing w:after="160" w:line="259" w:lineRule="auto"/>
            </w:pPr>
            <w:r w:rsidRPr="0091692E">
              <w:t xml:space="preserve"> </w:t>
            </w:r>
            <w:r w:rsidR="002C365A">
              <w:t>N/A</w:t>
            </w:r>
          </w:p>
        </w:tc>
        <w:tc>
          <w:tcPr>
            <w:tcW w:w="0" w:type="auto"/>
            <w:vAlign w:val="center"/>
          </w:tcPr>
          <w:p w14:paraId="0ABDE13F" w14:textId="77777777" w:rsidR="0091692E" w:rsidRPr="00DF3678" w:rsidRDefault="002C365A" w:rsidP="008B15DA">
            <w:pPr>
              <w:spacing w:after="160" w:line="259" w:lineRule="auto"/>
              <w:jc w:val="right"/>
              <w:cnfStyle w:val="000000000000" w:firstRow="0" w:lastRow="0" w:firstColumn="0" w:lastColumn="0" w:oddVBand="0" w:evenVBand="0" w:oddHBand="0" w:evenHBand="0" w:firstRowFirstColumn="0" w:firstRowLastColumn="0" w:lastRowFirstColumn="0" w:lastRowLastColumn="0"/>
            </w:pPr>
            <w:r w:rsidRPr="00DF3678">
              <w:t>$</w:t>
            </w:r>
            <w:r w:rsidR="00DF3678" w:rsidRPr="00DF3678">
              <w:t>38,568,168</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3176D992" w14:textId="77777777" w:rsidR="0091692E" w:rsidRPr="005D70CF" w:rsidRDefault="002C365A" w:rsidP="0043143B">
            <w:pPr>
              <w:spacing w:after="160" w:line="259" w:lineRule="auto"/>
              <w:jc w:val="right"/>
              <w:rPr>
                <w:b w:val="0"/>
              </w:rPr>
            </w:pPr>
            <w:r w:rsidRPr="005D70CF">
              <w:rPr>
                <w:b w:val="0"/>
              </w:rPr>
              <w:t>$</w:t>
            </w:r>
            <w:r w:rsidR="0043143B" w:rsidRPr="005D70CF">
              <w:rPr>
                <w:b w:val="0"/>
              </w:rPr>
              <w:t>32,897,631</w:t>
            </w:r>
          </w:p>
        </w:tc>
      </w:tr>
      <w:tr w:rsidR="0091692E" w:rsidRPr="0091692E" w14:paraId="48706A22" w14:textId="77777777" w:rsidTr="00D96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552344" w14:textId="77777777" w:rsidR="0091692E" w:rsidRPr="0091692E" w:rsidRDefault="0091692E" w:rsidP="0091692E">
            <w:pPr>
              <w:spacing w:after="160" w:line="259" w:lineRule="auto"/>
            </w:pPr>
            <w:r w:rsidRPr="0091692E">
              <w:t>HOPWA</w:t>
            </w:r>
          </w:p>
        </w:tc>
        <w:tc>
          <w:tcPr>
            <w:cnfStyle w:val="000010000000" w:firstRow="0" w:lastRow="0" w:firstColumn="0" w:lastColumn="0" w:oddVBand="1" w:evenVBand="0" w:oddHBand="0" w:evenHBand="0" w:firstRowFirstColumn="0" w:firstRowLastColumn="0" w:lastRowFirstColumn="0" w:lastRowLastColumn="0"/>
            <w:tcW w:w="0" w:type="auto"/>
          </w:tcPr>
          <w:p w14:paraId="7236B553" w14:textId="77777777" w:rsidR="0091692E" w:rsidRPr="0091692E" w:rsidRDefault="0091692E" w:rsidP="0091692E">
            <w:pPr>
              <w:spacing w:after="160" w:line="259" w:lineRule="auto"/>
            </w:pPr>
            <w:r w:rsidRPr="0091692E">
              <w:t xml:space="preserve"> </w:t>
            </w:r>
            <w:r w:rsidR="002C365A">
              <w:t>N/A</w:t>
            </w:r>
          </w:p>
        </w:tc>
        <w:tc>
          <w:tcPr>
            <w:tcW w:w="0" w:type="auto"/>
            <w:vAlign w:val="center"/>
          </w:tcPr>
          <w:p w14:paraId="37D73840" w14:textId="77777777" w:rsidR="0091692E" w:rsidRPr="00DF3678" w:rsidRDefault="00925690" w:rsidP="00AA534C">
            <w:pPr>
              <w:spacing w:after="160" w:line="259" w:lineRule="auto"/>
              <w:jc w:val="right"/>
              <w:cnfStyle w:val="000000100000" w:firstRow="0" w:lastRow="0" w:firstColumn="0" w:lastColumn="0" w:oddVBand="0" w:evenVBand="0" w:oddHBand="1" w:evenHBand="0" w:firstRowFirstColumn="0" w:firstRowLastColumn="0" w:lastRowFirstColumn="0" w:lastRowLastColumn="0"/>
            </w:pPr>
            <w:r w:rsidRPr="00DF3678">
              <w:t>$</w:t>
            </w:r>
            <w:r w:rsidR="00DF3678" w:rsidRPr="00DF3678">
              <w:t>2,921,564</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5695B5E8" w14:textId="77777777" w:rsidR="0091692E" w:rsidRPr="005D70CF" w:rsidRDefault="00925690" w:rsidP="0036275C">
            <w:pPr>
              <w:spacing w:after="160" w:line="259" w:lineRule="auto"/>
              <w:jc w:val="right"/>
              <w:rPr>
                <w:b w:val="0"/>
              </w:rPr>
            </w:pPr>
            <w:r w:rsidRPr="005D70CF">
              <w:rPr>
                <w:b w:val="0"/>
              </w:rPr>
              <w:t>$</w:t>
            </w:r>
            <w:r w:rsidR="0036275C" w:rsidRPr="005D70CF">
              <w:rPr>
                <w:b w:val="0"/>
              </w:rPr>
              <w:t>2,458,785</w:t>
            </w:r>
          </w:p>
        </w:tc>
      </w:tr>
      <w:tr w:rsidR="0091692E" w:rsidRPr="0091692E" w14:paraId="0C0933F4" w14:textId="77777777" w:rsidTr="00D961C6">
        <w:tc>
          <w:tcPr>
            <w:cnfStyle w:val="001000000000" w:firstRow="0" w:lastRow="0" w:firstColumn="1" w:lastColumn="0" w:oddVBand="0" w:evenVBand="0" w:oddHBand="0" w:evenHBand="0" w:firstRowFirstColumn="0" w:firstRowLastColumn="0" w:lastRowFirstColumn="0" w:lastRowLastColumn="0"/>
            <w:tcW w:w="0" w:type="auto"/>
          </w:tcPr>
          <w:p w14:paraId="1BA486ED" w14:textId="77777777" w:rsidR="0091692E" w:rsidRPr="0091692E" w:rsidRDefault="0091692E" w:rsidP="0091692E">
            <w:pPr>
              <w:spacing w:after="160" w:line="259" w:lineRule="auto"/>
            </w:pPr>
            <w:r w:rsidRPr="0091692E">
              <w:t>ESG</w:t>
            </w:r>
          </w:p>
        </w:tc>
        <w:tc>
          <w:tcPr>
            <w:cnfStyle w:val="000010000000" w:firstRow="0" w:lastRow="0" w:firstColumn="0" w:lastColumn="0" w:oddVBand="1" w:evenVBand="0" w:oddHBand="0" w:evenHBand="0" w:firstRowFirstColumn="0" w:firstRowLastColumn="0" w:lastRowFirstColumn="0" w:lastRowLastColumn="0"/>
            <w:tcW w:w="0" w:type="auto"/>
          </w:tcPr>
          <w:p w14:paraId="11D8ED25" w14:textId="77777777" w:rsidR="0091692E" w:rsidRPr="0091692E" w:rsidRDefault="0091692E" w:rsidP="0091692E">
            <w:pPr>
              <w:spacing w:after="160" w:line="259" w:lineRule="auto"/>
            </w:pPr>
            <w:r w:rsidRPr="0091692E">
              <w:t xml:space="preserve"> </w:t>
            </w:r>
            <w:r w:rsidR="002C365A">
              <w:t>N/A</w:t>
            </w:r>
          </w:p>
        </w:tc>
        <w:tc>
          <w:tcPr>
            <w:tcW w:w="0" w:type="auto"/>
            <w:vAlign w:val="center"/>
          </w:tcPr>
          <w:p w14:paraId="4A0E5D03" w14:textId="77777777" w:rsidR="0091692E" w:rsidRPr="00DF3678" w:rsidRDefault="00DB10E9" w:rsidP="00D961C6">
            <w:pPr>
              <w:spacing w:after="160" w:line="259" w:lineRule="auto"/>
              <w:jc w:val="right"/>
              <w:cnfStyle w:val="000000000000" w:firstRow="0" w:lastRow="0" w:firstColumn="0" w:lastColumn="0" w:oddVBand="0" w:evenVBand="0" w:oddHBand="0" w:evenHBand="0" w:firstRowFirstColumn="0" w:firstRowLastColumn="0" w:lastRowFirstColumn="0" w:lastRowLastColumn="0"/>
            </w:pPr>
            <w:r>
              <w:t>$</w:t>
            </w:r>
            <w:r w:rsidR="00DF3678" w:rsidRPr="00DF3678">
              <w:t>23,478,901</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24131B40" w14:textId="77777777" w:rsidR="0091692E" w:rsidRPr="005D70CF" w:rsidRDefault="004B3E99" w:rsidP="00D961C6">
            <w:pPr>
              <w:spacing w:after="160" w:line="259" w:lineRule="auto"/>
              <w:jc w:val="right"/>
              <w:rPr>
                <w:b w:val="0"/>
              </w:rPr>
            </w:pPr>
            <w:r w:rsidRPr="005D70CF">
              <w:rPr>
                <w:b w:val="0"/>
              </w:rPr>
              <w:t>$4,727,241</w:t>
            </w:r>
          </w:p>
        </w:tc>
      </w:tr>
      <w:tr w:rsidR="0091692E" w:rsidRPr="0091692E" w14:paraId="62E8D774" w14:textId="77777777" w:rsidTr="001F2D5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1AD8FA" w14:textId="77777777" w:rsidR="0091692E" w:rsidRPr="0091692E" w:rsidRDefault="0091692E" w:rsidP="0091692E">
            <w:pPr>
              <w:spacing w:after="160" w:line="259" w:lineRule="auto"/>
            </w:pPr>
            <w:r w:rsidRPr="0091692E">
              <w:t>Other</w:t>
            </w:r>
          </w:p>
        </w:tc>
        <w:tc>
          <w:tcPr>
            <w:cnfStyle w:val="000010000000" w:firstRow="0" w:lastRow="0" w:firstColumn="0" w:lastColumn="0" w:oddVBand="1" w:evenVBand="0" w:oddHBand="0" w:evenHBand="0" w:firstRowFirstColumn="0" w:firstRowLastColumn="0" w:lastRowFirstColumn="0" w:lastRowLastColumn="0"/>
            <w:tcW w:w="0" w:type="auto"/>
          </w:tcPr>
          <w:p w14:paraId="1902D7A6" w14:textId="77777777" w:rsidR="0091692E" w:rsidRPr="0091692E" w:rsidRDefault="0091692E" w:rsidP="0091692E">
            <w:pPr>
              <w:spacing w:after="160" w:line="259" w:lineRule="auto"/>
            </w:pPr>
            <w:r w:rsidRPr="0091692E">
              <w:t>Lead Hazard Control Program</w:t>
            </w:r>
          </w:p>
        </w:tc>
        <w:tc>
          <w:tcPr>
            <w:tcW w:w="0" w:type="auto"/>
          </w:tcPr>
          <w:p w14:paraId="1D17B334" w14:textId="77777777" w:rsidR="0091692E" w:rsidRPr="00DF3678" w:rsidRDefault="001F2D57" w:rsidP="001F2D57">
            <w:pPr>
              <w:spacing w:after="160" w:line="259" w:lineRule="auto"/>
              <w:jc w:val="right"/>
              <w:cnfStyle w:val="010000000000" w:firstRow="0" w:lastRow="1" w:firstColumn="0" w:lastColumn="0" w:oddVBand="0" w:evenVBand="0" w:oddHBand="0" w:evenHBand="0" w:firstRowFirstColumn="0" w:firstRowLastColumn="0" w:lastRowFirstColumn="0" w:lastRowLastColumn="0"/>
              <w:rPr>
                <w:b w:val="0"/>
              </w:rPr>
            </w:pPr>
            <w:r w:rsidRPr="00DF3678">
              <w:rPr>
                <w:b w:val="0"/>
              </w:rPr>
              <w:t>$1,850,000</w:t>
            </w:r>
          </w:p>
        </w:tc>
        <w:tc>
          <w:tcPr>
            <w:cnfStyle w:val="000100000000" w:firstRow="0" w:lastRow="0" w:firstColumn="0" w:lastColumn="1" w:oddVBand="0" w:evenVBand="0" w:oddHBand="0" w:evenHBand="0" w:firstRowFirstColumn="0" w:firstRowLastColumn="0" w:lastRowFirstColumn="0" w:lastRowLastColumn="0"/>
            <w:tcW w:w="0" w:type="auto"/>
          </w:tcPr>
          <w:p w14:paraId="314298B3" w14:textId="77777777" w:rsidR="0091692E" w:rsidRPr="00DF3678" w:rsidRDefault="001F2D57" w:rsidP="001F2D57">
            <w:pPr>
              <w:spacing w:after="160" w:line="259" w:lineRule="auto"/>
              <w:jc w:val="right"/>
              <w:rPr>
                <w:b w:val="0"/>
              </w:rPr>
            </w:pPr>
            <w:r w:rsidRPr="00DF3678">
              <w:rPr>
                <w:b w:val="0"/>
              </w:rPr>
              <w:t>$810,738</w:t>
            </w:r>
          </w:p>
        </w:tc>
      </w:tr>
    </w:tbl>
    <w:p w14:paraId="199E6179" w14:textId="77777777" w:rsidR="001019E2" w:rsidRPr="00061356" w:rsidRDefault="0091692E" w:rsidP="00061356">
      <w:pPr>
        <w:jc w:val="center"/>
        <w:rPr>
          <w:b/>
          <w:bCs/>
          <w:sz w:val="16"/>
        </w:rPr>
      </w:pPr>
      <w:r w:rsidRPr="00D961C6">
        <w:rPr>
          <w:b/>
          <w:bCs/>
          <w:sz w:val="16"/>
        </w:rPr>
        <w:t xml:space="preserve">Table </w:t>
      </w:r>
      <w:r w:rsidR="00087BA0">
        <w:rPr>
          <w:b/>
          <w:bCs/>
          <w:sz w:val="16"/>
        </w:rPr>
        <w:t>3</w:t>
      </w:r>
      <w:r w:rsidRPr="00D961C6">
        <w:rPr>
          <w:b/>
          <w:bCs/>
          <w:sz w:val="16"/>
        </w:rPr>
        <w:t xml:space="preserve"> – Resources Made Available</w:t>
      </w:r>
    </w:p>
    <w:p w14:paraId="6C0E1ABF" w14:textId="77777777" w:rsidR="00EB13C5" w:rsidRPr="0031344F" w:rsidRDefault="0031344F" w:rsidP="00925690">
      <w:pPr>
        <w:keepNext/>
        <w:spacing w:after="0" w:line="240" w:lineRule="auto"/>
        <w:rPr>
          <w:rFonts w:eastAsia="Calibri" w:cs="Arial"/>
          <w:b/>
          <w:i/>
          <w:u w:val="single"/>
        </w:rPr>
      </w:pPr>
      <w:r w:rsidRPr="0031344F">
        <w:rPr>
          <w:rFonts w:eastAsia="Calibri" w:cs="Arial"/>
          <w:b/>
          <w:i/>
          <w:u w:val="single"/>
        </w:rPr>
        <w:t xml:space="preserve">NARRATIVE: </w:t>
      </w:r>
    </w:p>
    <w:p w14:paraId="74250FA3" w14:textId="77777777" w:rsidR="00625CE4" w:rsidRPr="00625CE4" w:rsidRDefault="00F25652" w:rsidP="00DF3678">
      <w:pPr>
        <w:spacing w:before="100" w:beforeAutospacing="1" w:after="100" w:afterAutospacing="1"/>
        <w:rPr>
          <w:rFonts w:cs="Arial"/>
        </w:rPr>
      </w:pPr>
      <w:r w:rsidRPr="00625CE4">
        <w:rPr>
          <w:rFonts w:cs="Arial"/>
        </w:rPr>
        <w:t xml:space="preserve">Due to </w:t>
      </w:r>
      <w:r w:rsidR="00625CE4">
        <w:rPr>
          <w:rFonts w:cs="Arial"/>
        </w:rPr>
        <w:t>Community Development Block Grant (</w:t>
      </w:r>
      <w:r w:rsidRPr="00625CE4">
        <w:rPr>
          <w:rFonts w:cs="Arial"/>
        </w:rPr>
        <w:t>CDBG</w:t>
      </w:r>
      <w:r w:rsidR="00625CE4">
        <w:rPr>
          <w:rFonts w:cs="Arial"/>
        </w:rPr>
        <w:t>) Program</w:t>
      </w:r>
      <w:r w:rsidRPr="00625CE4">
        <w:rPr>
          <w:rFonts w:cs="Arial"/>
        </w:rPr>
        <w:t>, HOME</w:t>
      </w:r>
      <w:r w:rsidR="00625CE4">
        <w:rPr>
          <w:rFonts w:cs="Arial"/>
        </w:rPr>
        <w:t xml:space="preserve"> Investment Partnership (HOME) Program</w:t>
      </w:r>
      <w:r w:rsidRPr="00625CE4">
        <w:rPr>
          <w:rFonts w:cs="Arial"/>
        </w:rPr>
        <w:t xml:space="preserve">, </w:t>
      </w:r>
      <w:r w:rsidR="002C365A">
        <w:rPr>
          <w:rFonts w:cs="Arial"/>
        </w:rPr>
        <w:t>Emergency Solutions Grant (</w:t>
      </w:r>
      <w:r w:rsidR="002C365A" w:rsidRPr="00625CE4">
        <w:rPr>
          <w:rFonts w:cs="Arial"/>
        </w:rPr>
        <w:t>ESG</w:t>
      </w:r>
      <w:r w:rsidR="002C365A">
        <w:rPr>
          <w:rFonts w:cs="Arial"/>
        </w:rPr>
        <w:t xml:space="preserve">), </w:t>
      </w:r>
      <w:r w:rsidR="00625CE4">
        <w:rPr>
          <w:rFonts w:cs="Arial"/>
        </w:rPr>
        <w:t>Housing Opportunities for Persons with AIDS (</w:t>
      </w:r>
      <w:r w:rsidRPr="00625CE4">
        <w:rPr>
          <w:rFonts w:cs="Arial"/>
        </w:rPr>
        <w:t>HOPWA</w:t>
      </w:r>
      <w:r w:rsidR="00625CE4">
        <w:rPr>
          <w:rFonts w:cs="Arial"/>
        </w:rPr>
        <w:t>)</w:t>
      </w:r>
      <w:r w:rsidRPr="00625CE4">
        <w:rPr>
          <w:rFonts w:cs="Arial"/>
        </w:rPr>
        <w:t xml:space="preserve"> and</w:t>
      </w:r>
      <w:r w:rsidR="002C365A">
        <w:rPr>
          <w:rFonts w:cs="Arial"/>
        </w:rPr>
        <w:t xml:space="preserve"> Lead Hazard Control Program (LHCP)</w:t>
      </w:r>
      <w:r w:rsidRPr="00625CE4">
        <w:rPr>
          <w:rFonts w:cs="Arial"/>
        </w:rPr>
        <w:t xml:space="preserve"> having disencumbered funds, these programs reallocated additional funds to F</w:t>
      </w:r>
      <w:r w:rsidR="00895F06">
        <w:rPr>
          <w:rFonts w:cs="Arial"/>
        </w:rPr>
        <w:t xml:space="preserve">iscal </w:t>
      </w:r>
      <w:r w:rsidRPr="00625CE4">
        <w:rPr>
          <w:rFonts w:cs="Arial"/>
        </w:rPr>
        <w:t>Y</w:t>
      </w:r>
      <w:r w:rsidR="00895F06">
        <w:rPr>
          <w:rFonts w:cs="Arial"/>
        </w:rPr>
        <w:t>ear</w:t>
      </w:r>
      <w:r w:rsidRPr="00625CE4">
        <w:rPr>
          <w:rFonts w:cs="Arial"/>
        </w:rPr>
        <w:t xml:space="preserve"> </w:t>
      </w:r>
      <w:r w:rsidR="00592B04" w:rsidRPr="00625CE4">
        <w:rPr>
          <w:rFonts w:cs="Arial"/>
        </w:rPr>
        <w:t>2016-</w:t>
      </w:r>
      <w:r w:rsidR="00895F06">
        <w:rPr>
          <w:rFonts w:cs="Arial"/>
        </w:rPr>
        <w:t>20</w:t>
      </w:r>
      <w:r w:rsidR="00592B04" w:rsidRPr="00625CE4">
        <w:rPr>
          <w:rFonts w:cs="Arial"/>
        </w:rPr>
        <w:t>17</w:t>
      </w:r>
      <w:r w:rsidRPr="00625CE4">
        <w:rPr>
          <w:rFonts w:cs="Arial"/>
        </w:rPr>
        <w:t xml:space="preserve"> </w:t>
      </w:r>
      <w:r w:rsidR="00895F06">
        <w:rPr>
          <w:rFonts w:cs="Arial"/>
        </w:rPr>
        <w:t xml:space="preserve">(FY 2016-17) </w:t>
      </w:r>
      <w:r w:rsidRPr="00625CE4">
        <w:rPr>
          <w:rFonts w:cs="Arial"/>
        </w:rPr>
        <w:t>activities.</w:t>
      </w:r>
    </w:p>
    <w:p w14:paraId="4CD5E2F7" w14:textId="77777777" w:rsidR="00061356" w:rsidRDefault="00E722BD" w:rsidP="001D536F">
      <w:pPr>
        <w:spacing w:before="100" w:beforeAutospacing="1" w:after="100" w:afterAutospacing="1"/>
        <w:rPr>
          <w:rFonts w:eastAsia="Calibri" w:cs="Arial"/>
        </w:rPr>
      </w:pPr>
      <w:r w:rsidRPr="0031344F">
        <w:rPr>
          <w:rFonts w:eastAsia="Calibri" w:cs="Arial"/>
          <w:b/>
        </w:rPr>
        <w:t>LHCP</w:t>
      </w:r>
      <w:r w:rsidRPr="00895F06">
        <w:rPr>
          <w:rFonts w:eastAsia="Calibri" w:cs="Arial"/>
          <w:b/>
        </w:rPr>
        <w:t xml:space="preserve">: </w:t>
      </w:r>
      <w:r w:rsidR="00895F06">
        <w:rPr>
          <w:rFonts w:eastAsia="Calibri" w:cs="Arial"/>
          <w:b/>
          <w:color w:val="808080" w:themeColor="background1" w:themeShade="80"/>
        </w:rPr>
        <w:t xml:space="preserve"> </w:t>
      </w:r>
      <w:r w:rsidR="00EB13C5" w:rsidRPr="0031344F">
        <w:rPr>
          <w:rFonts w:eastAsia="Calibri" w:cs="Arial"/>
        </w:rPr>
        <w:t>The total resources made available for the 2014-</w:t>
      </w:r>
      <w:r w:rsidR="00895F06">
        <w:rPr>
          <w:rFonts w:eastAsia="Calibri" w:cs="Arial"/>
        </w:rPr>
        <w:t>20</w:t>
      </w:r>
      <w:r w:rsidR="00EB13C5" w:rsidRPr="0031344F">
        <w:rPr>
          <w:rFonts w:eastAsia="Calibri" w:cs="Arial"/>
        </w:rPr>
        <w:t>17</w:t>
      </w:r>
      <w:r w:rsidR="00895F06">
        <w:rPr>
          <w:rFonts w:eastAsia="Calibri" w:cs="Arial"/>
        </w:rPr>
        <w:t xml:space="preserve"> (2014-17) </w:t>
      </w:r>
      <w:r w:rsidRPr="0031344F">
        <w:rPr>
          <w:rFonts w:eastAsia="Calibri" w:cs="Arial"/>
        </w:rPr>
        <w:t>g</w:t>
      </w:r>
      <w:r w:rsidR="00EB13C5" w:rsidRPr="0031344F">
        <w:rPr>
          <w:rFonts w:eastAsia="Calibri" w:cs="Arial"/>
        </w:rPr>
        <w:t xml:space="preserve">rant is </w:t>
      </w:r>
      <w:r w:rsidR="00EB13C5" w:rsidRPr="001D536F">
        <w:rPr>
          <w:rFonts w:eastAsia="Calibri" w:cs="Arial"/>
          <w:b/>
        </w:rPr>
        <w:t>$3,400,000</w:t>
      </w:r>
      <w:r w:rsidR="00EB13C5" w:rsidRPr="0031344F">
        <w:rPr>
          <w:rFonts w:eastAsia="Calibri" w:cs="Arial"/>
        </w:rPr>
        <w:t xml:space="preserve">.  The total resources made available for FY 2016-17 grant </w:t>
      </w:r>
      <w:r w:rsidR="008648BA">
        <w:rPr>
          <w:rFonts w:eastAsia="Calibri" w:cs="Arial"/>
        </w:rPr>
        <w:t>was</w:t>
      </w:r>
      <w:r w:rsidR="00EB13C5" w:rsidRPr="001D536F">
        <w:rPr>
          <w:rFonts w:eastAsia="Calibri" w:cs="Arial"/>
          <w:b/>
        </w:rPr>
        <w:t>$1,850</w:t>
      </w:r>
      <w:r w:rsidRPr="001D536F">
        <w:rPr>
          <w:rFonts w:eastAsia="Calibri" w:cs="Arial"/>
          <w:b/>
        </w:rPr>
        <w:t>,000</w:t>
      </w:r>
      <w:r w:rsidRPr="0031344F">
        <w:rPr>
          <w:rFonts w:eastAsia="Calibri" w:cs="Arial"/>
        </w:rPr>
        <w:t xml:space="preserve">.  The amount expended during the program year </w:t>
      </w:r>
      <w:r w:rsidR="008648BA">
        <w:rPr>
          <w:rFonts w:eastAsia="Calibri" w:cs="Arial"/>
        </w:rPr>
        <w:t>was</w:t>
      </w:r>
      <w:r w:rsidRPr="0031344F">
        <w:rPr>
          <w:rFonts w:eastAsia="Calibri" w:cs="Arial"/>
        </w:rPr>
        <w:t xml:space="preserve"> </w:t>
      </w:r>
      <w:r w:rsidRPr="001D536F">
        <w:rPr>
          <w:rFonts w:eastAsia="Calibri" w:cs="Arial"/>
          <w:b/>
        </w:rPr>
        <w:t>$810,738</w:t>
      </w:r>
      <w:r w:rsidRPr="0031344F">
        <w:rPr>
          <w:rFonts w:eastAsia="Calibri" w:cs="Arial"/>
        </w:rPr>
        <w:t xml:space="preserve">.  The 2014-17 grant will end on December 14, 2017.  </w:t>
      </w:r>
    </w:p>
    <w:p w14:paraId="4470F639" w14:textId="77777777" w:rsidR="00EB13C5" w:rsidRPr="00061356" w:rsidRDefault="00061356" w:rsidP="00061356">
      <w:pPr>
        <w:rPr>
          <w:rFonts w:eastAsia="Calibri" w:cs="Arial"/>
        </w:rPr>
      </w:pPr>
      <w:r>
        <w:rPr>
          <w:rFonts w:eastAsia="Calibri" w:cs="Arial"/>
        </w:rPr>
        <w:br w:type="page"/>
      </w:r>
    </w:p>
    <w:p w14:paraId="3CA2B00A" w14:textId="139786A6" w:rsidR="00087BA0" w:rsidRDefault="00087BA0" w:rsidP="00087BA0">
      <w:pPr>
        <w:rPr>
          <w:b/>
          <w:u w:val="single"/>
        </w:rPr>
      </w:pPr>
      <w:r w:rsidRPr="0031344F">
        <w:rPr>
          <w:b/>
          <w:u w:val="single"/>
        </w:rPr>
        <w:lastRenderedPageBreak/>
        <w:t>Identify the geographic distribution and location of investments</w:t>
      </w:r>
    </w:p>
    <w:p w14:paraId="37154D2C" w14:textId="77777777" w:rsidR="003B09E9" w:rsidRDefault="003B09E9" w:rsidP="00087BA0">
      <w:pPr>
        <w:rPr>
          <w:b/>
          <w:u w:val="single"/>
        </w:rPr>
      </w:pPr>
    </w:p>
    <w:p w14:paraId="2161562A" w14:textId="3500C2E3" w:rsidR="003B09E9" w:rsidRPr="00D3577E" w:rsidRDefault="003B09E9" w:rsidP="003B09E9">
      <w:pPr>
        <w:widowControl w:val="0"/>
        <w:spacing w:after="100" w:afterAutospacing="1"/>
        <w:jc w:val="center"/>
        <w:rPr>
          <w:i/>
          <w:color w:val="FF0000"/>
        </w:rPr>
      </w:pPr>
      <w:r>
        <w:rPr>
          <w:b/>
          <w:i/>
        </w:rPr>
        <w:t>P</w:t>
      </w:r>
      <w:r w:rsidRPr="004B2A96">
        <w:rPr>
          <w:b/>
          <w:i/>
        </w:rPr>
        <w:t>lease note</w:t>
      </w:r>
      <w:r w:rsidRPr="004B2A96">
        <w:rPr>
          <w:i/>
        </w:rPr>
        <w:t xml:space="preserve">:  </w:t>
      </w:r>
      <w:r>
        <w:rPr>
          <w:i/>
          <w:color w:val="FF0000"/>
        </w:rPr>
        <w:t>The data in this</w:t>
      </w:r>
      <w:r w:rsidRPr="00E17F11">
        <w:rPr>
          <w:i/>
          <w:color w:val="FF0000"/>
        </w:rPr>
        <w:t xml:space="preserve"> section </w:t>
      </w:r>
      <w:r>
        <w:rPr>
          <w:i/>
          <w:color w:val="FF0000"/>
        </w:rPr>
        <w:t>will be updated as</w:t>
      </w:r>
      <w:r w:rsidRPr="00E17F11">
        <w:rPr>
          <w:i/>
          <w:color w:val="FF0000"/>
        </w:rPr>
        <w:t xml:space="preserve"> relevant data </w:t>
      </w:r>
      <w:r>
        <w:rPr>
          <w:i/>
          <w:color w:val="FF0000"/>
        </w:rPr>
        <w:t>becomes</w:t>
      </w:r>
      <w:r w:rsidRPr="00E17F11">
        <w:rPr>
          <w:i/>
          <w:color w:val="FF0000"/>
        </w:rPr>
        <w:t xml:space="preserve"> available</w:t>
      </w:r>
      <w:r w:rsidRPr="004B2A96">
        <w:rPr>
          <w:i/>
        </w:rPr>
        <w:t>.</w:t>
      </w:r>
      <w:r>
        <w:rPr>
          <w:i/>
        </w:rPr>
        <w:t xml:space="preserve">  </w:t>
      </w:r>
      <w:r w:rsidRPr="00D3577E">
        <w:rPr>
          <w:i/>
          <w:color w:val="FF0000"/>
        </w:rPr>
        <w:t xml:space="preserve">Where data is currently not available X’s have been used to represent where data is missing.  </w:t>
      </w:r>
    </w:p>
    <w:tbl>
      <w:tblPr>
        <w:tblStyle w:val="GridTable4-Accent3"/>
        <w:tblW w:w="5042" w:type="pct"/>
        <w:tblLook w:val="01E0" w:firstRow="1" w:lastRow="1" w:firstColumn="1" w:lastColumn="1" w:noHBand="0" w:noVBand="0"/>
      </w:tblPr>
      <w:tblGrid>
        <w:gridCol w:w="3718"/>
        <w:gridCol w:w="3597"/>
        <w:gridCol w:w="3598"/>
        <w:gridCol w:w="3598"/>
      </w:tblGrid>
      <w:tr w:rsidR="00087BA0" w:rsidRPr="00087BA0" w14:paraId="378061D8" w14:textId="77777777" w:rsidTr="00087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Pr>
          <w:p w14:paraId="17C47DCE" w14:textId="77777777" w:rsidR="00087BA0" w:rsidRPr="00087BA0" w:rsidRDefault="00087BA0" w:rsidP="00087BA0">
            <w:pPr>
              <w:spacing w:after="160" w:line="259" w:lineRule="auto"/>
              <w:jc w:val="center"/>
            </w:pPr>
            <w:r w:rsidRPr="00087BA0">
              <w:t>Target Area</w:t>
            </w:r>
          </w:p>
        </w:tc>
        <w:tc>
          <w:tcPr>
            <w:cnfStyle w:val="000010000000" w:firstRow="0" w:lastRow="0" w:firstColumn="0" w:lastColumn="0" w:oddVBand="1" w:evenVBand="0" w:oddHBand="0" w:evenHBand="0" w:firstRowFirstColumn="0" w:firstRowLastColumn="0" w:lastRowFirstColumn="0" w:lastRowLastColumn="0"/>
            <w:tcW w:w="3597" w:type="dxa"/>
          </w:tcPr>
          <w:p w14:paraId="681B0640" w14:textId="77777777" w:rsidR="00087BA0" w:rsidRPr="00087BA0" w:rsidRDefault="00087BA0" w:rsidP="00087BA0">
            <w:pPr>
              <w:spacing w:after="160" w:line="259" w:lineRule="auto"/>
              <w:jc w:val="center"/>
            </w:pPr>
            <w:r w:rsidRPr="00087BA0">
              <w:t>Planned Percentage of Allocation</w:t>
            </w:r>
          </w:p>
        </w:tc>
        <w:tc>
          <w:tcPr>
            <w:tcW w:w="3598" w:type="dxa"/>
          </w:tcPr>
          <w:p w14:paraId="6FCBAADA" w14:textId="77777777" w:rsidR="00087BA0" w:rsidRPr="00087BA0" w:rsidRDefault="00087BA0" w:rsidP="00087BA0">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087BA0">
              <w:t>Actual Percentage of Allocation</w:t>
            </w:r>
          </w:p>
        </w:tc>
        <w:tc>
          <w:tcPr>
            <w:cnfStyle w:val="000100000000" w:firstRow="0" w:lastRow="0" w:firstColumn="0" w:lastColumn="1" w:oddVBand="0" w:evenVBand="0" w:oddHBand="0" w:evenHBand="0" w:firstRowFirstColumn="0" w:firstRowLastColumn="0" w:lastRowFirstColumn="0" w:lastRowLastColumn="0"/>
            <w:tcW w:w="3598" w:type="dxa"/>
          </w:tcPr>
          <w:p w14:paraId="736652B8" w14:textId="77777777" w:rsidR="00087BA0" w:rsidRPr="00087BA0" w:rsidRDefault="00087BA0" w:rsidP="00087BA0">
            <w:pPr>
              <w:spacing w:after="160" w:line="259" w:lineRule="auto"/>
              <w:jc w:val="center"/>
            </w:pPr>
            <w:r w:rsidRPr="00087BA0">
              <w:t>Narrative Description</w:t>
            </w:r>
          </w:p>
        </w:tc>
      </w:tr>
      <w:tr w:rsidR="00087BA0" w:rsidRPr="00087BA0" w14:paraId="6DE07A7E" w14:textId="77777777" w:rsidTr="00935B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8" w:type="dxa"/>
          </w:tcPr>
          <w:p w14:paraId="53365ED4" w14:textId="77777777" w:rsidR="00087BA0" w:rsidRPr="00935B13" w:rsidRDefault="00935B13" w:rsidP="00935B13">
            <w:pPr>
              <w:spacing w:after="160" w:line="259" w:lineRule="auto"/>
              <w:jc w:val="right"/>
              <w:rPr>
                <w:b w:val="0"/>
              </w:rPr>
            </w:pPr>
            <w:r w:rsidRPr="00935B13">
              <w:rPr>
                <w:b w:val="0"/>
              </w:rPr>
              <w:t>X</w:t>
            </w:r>
          </w:p>
        </w:tc>
        <w:tc>
          <w:tcPr>
            <w:cnfStyle w:val="000010000000" w:firstRow="0" w:lastRow="0" w:firstColumn="0" w:lastColumn="0" w:oddVBand="1" w:evenVBand="0" w:oddHBand="0" w:evenHBand="0" w:firstRowFirstColumn="0" w:firstRowLastColumn="0" w:lastRowFirstColumn="0" w:lastRowLastColumn="0"/>
            <w:tcW w:w="3597" w:type="dxa"/>
          </w:tcPr>
          <w:p w14:paraId="67E0D02B" w14:textId="77777777" w:rsidR="00087BA0" w:rsidRPr="00935B13" w:rsidRDefault="00935B13" w:rsidP="00935B13">
            <w:pPr>
              <w:spacing w:after="160" w:line="259" w:lineRule="auto"/>
              <w:jc w:val="right"/>
              <w:rPr>
                <w:b w:val="0"/>
              </w:rPr>
            </w:pPr>
            <w:r w:rsidRPr="00935B13">
              <w:rPr>
                <w:b w:val="0"/>
              </w:rPr>
              <w:t>X</w:t>
            </w:r>
          </w:p>
        </w:tc>
        <w:tc>
          <w:tcPr>
            <w:tcW w:w="3598" w:type="dxa"/>
          </w:tcPr>
          <w:p w14:paraId="369EE3B4" w14:textId="77777777" w:rsidR="00087BA0" w:rsidRPr="00935B13" w:rsidRDefault="00935B13" w:rsidP="00935B13">
            <w:pPr>
              <w:jc w:val="right"/>
              <w:cnfStyle w:val="010000000000" w:firstRow="0" w:lastRow="1" w:firstColumn="0" w:lastColumn="0" w:oddVBand="0" w:evenVBand="0" w:oddHBand="0" w:evenHBand="0" w:firstRowFirstColumn="0" w:firstRowLastColumn="0" w:lastRowFirstColumn="0" w:lastRowLastColumn="0"/>
              <w:rPr>
                <w:b w:val="0"/>
                <w:bCs w:val="0"/>
              </w:rPr>
            </w:pPr>
            <w:r w:rsidRPr="00935B13">
              <w:rPr>
                <w:b w:val="0"/>
                <w:bCs w:val="0"/>
              </w:rPr>
              <w:t>X</w:t>
            </w:r>
          </w:p>
        </w:tc>
        <w:tc>
          <w:tcPr>
            <w:cnfStyle w:val="000100000000" w:firstRow="0" w:lastRow="0" w:firstColumn="0" w:lastColumn="1" w:oddVBand="0" w:evenVBand="0" w:oddHBand="0" w:evenHBand="0" w:firstRowFirstColumn="0" w:firstRowLastColumn="0" w:lastRowFirstColumn="0" w:lastRowLastColumn="0"/>
            <w:tcW w:w="3598" w:type="dxa"/>
            <w:shd w:val="clear" w:color="auto" w:fill="F2F2F2" w:themeFill="background1" w:themeFillShade="F2"/>
          </w:tcPr>
          <w:p w14:paraId="08924151" w14:textId="77777777" w:rsidR="00087BA0" w:rsidRPr="00935B13" w:rsidRDefault="00935B13" w:rsidP="00935B13">
            <w:pPr>
              <w:spacing w:after="160" w:line="259" w:lineRule="auto"/>
              <w:jc w:val="right"/>
              <w:rPr>
                <w:b w:val="0"/>
              </w:rPr>
            </w:pPr>
            <w:r w:rsidRPr="00935B13">
              <w:rPr>
                <w:b w:val="0"/>
              </w:rPr>
              <w:t>X</w:t>
            </w:r>
          </w:p>
        </w:tc>
      </w:tr>
    </w:tbl>
    <w:p w14:paraId="57C82B35" w14:textId="77777777" w:rsidR="00D961C6" w:rsidRPr="00CB679B" w:rsidRDefault="00087BA0" w:rsidP="00CB679B">
      <w:pPr>
        <w:jc w:val="center"/>
        <w:rPr>
          <w:b/>
          <w:bCs/>
          <w:sz w:val="16"/>
        </w:rPr>
      </w:pPr>
      <w:r w:rsidRPr="00087BA0">
        <w:rPr>
          <w:b/>
          <w:bCs/>
          <w:sz w:val="16"/>
        </w:rPr>
        <w:t xml:space="preserve">Table </w:t>
      </w:r>
      <w:r w:rsidRPr="00087BA0">
        <w:rPr>
          <w:b/>
          <w:bCs/>
          <w:sz w:val="16"/>
        </w:rPr>
        <w:fldChar w:fldCharType="begin"/>
      </w:r>
      <w:r w:rsidRPr="00087BA0">
        <w:rPr>
          <w:b/>
          <w:bCs/>
          <w:sz w:val="16"/>
        </w:rPr>
        <w:instrText xml:space="preserve"> SEQ Table \* ARABIC </w:instrText>
      </w:r>
      <w:r w:rsidRPr="00087BA0">
        <w:rPr>
          <w:b/>
          <w:bCs/>
          <w:sz w:val="16"/>
        </w:rPr>
        <w:fldChar w:fldCharType="separate"/>
      </w:r>
      <w:r w:rsidR="00AA534C">
        <w:rPr>
          <w:b/>
          <w:bCs/>
          <w:noProof/>
          <w:sz w:val="16"/>
        </w:rPr>
        <w:t>3</w:t>
      </w:r>
      <w:r w:rsidRPr="00087BA0">
        <w:rPr>
          <w:b/>
          <w:sz w:val="16"/>
        </w:rPr>
        <w:fldChar w:fldCharType="end"/>
      </w:r>
      <w:r w:rsidRPr="00087BA0">
        <w:rPr>
          <w:b/>
          <w:bCs/>
          <w:sz w:val="16"/>
        </w:rPr>
        <w:t xml:space="preserve"> – Identify the geographic distribut</w:t>
      </w:r>
      <w:r w:rsidR="00CB679B">
        <w:rPr>
          <w:b/>
          <w:bCs/>
          <w:sz w:val="16"/>
        </w:rPr>
        <w:t>ion and location of investments</w:t>
      </w:r>
    </w:p>
    <w:p w14:paraId="352E7EC6" w14:textId="77777777" w:rsidR="00F25652" w:rsidRPr="0031344F" w:rsidRDefault="0031344F" w:rsidP="00F25652">
      <w:pPr>
        <w:widowControl w:val="0"/>
        <w:spacing w:line="204" w:lineRule="auto"/>
        <w:rPr>
          <w:b/>
          <w:i/>
          <w:szCs w:val="24"/>
          <w:u w:val="single"/>
        </w:rPr>
      </w:pPr>
      <w:r w:rsidRPr="0031344F">
        <w:rPr>
          <w:b/>
          <w:i/>
          <w:szCs w:val="24"/>
          <w:u w:val="single"/>
        </w:rPr>
        <w:t>NARRATIVE</w:t>
      </w:r>
    </w:p>
    <w:p w14:paraId="53C248B2" w14:textId="4E85B8E2" w:rsidR="00895F06" w:rsidRPr="00061356" w:rsidRDefault="00F25652" w:rsidP="0050703B">
      <w:pPr>
        <w:widowControl w:val="0"/>
        <w:spacing w:before="100" w:beforeAutospacing="1" w:after="100" w:afterAutospacing="1"/>
        <w:rPr>
          <w:rFonts w:cs="Arial"/>
        </w:rPr>
      </w:pPr>
      <w:r w:rsidRPr="00CB679B">
        <w:rPr>
          <w:rFonts w:cs="Arial"/>
        </w:rPr>
        <w:t xml:space="preserve">The </w:t>
      </w:r>
      <w:r w:rsidR="00061356">
        <w:rPr>
          <w:rFonts w:cs="Arial"/>
        </w:rPr>
        <w:t>Department</w:t>
      </w:r>
      <w:r w:rsidR="00592B04" w:rsidRPr="00CB679B">
        <w:rPr>
          <w:rFonts w:cs="Arial"/>
        </w:rPr>
        <w:t xml:space="preserve"> </w:t>
      </w:r>
      <w:r w:rsidRPr="00CB679B">
        <w:rPr>
          <w:rFonts w:cs="Arial"/>
        </w:rPr>
        <w:t xml:space="preserve">had no geographic target areas identified for </w:t>
      </w:r>
      <w:r w:rsidR="009407B8">
        <w:rPr>
          <w:rFonts w:cs="Arial"/>
        </w:rPr>
        <w:t>FY 2016-17</w:t>
      </w:r>
      <w:r w:rsidR="00061356">
        <w:rPr>
          <w:rFonts w:cs="Arial"/>
        </w:rPr>
        <w:t xml:space="preserve"> Annual Action Plan (AP)</w:t>
      </w:r>
      <w:r w:rsidRPr="00CB679B">
        <w:rPr>
          <w:rFonts w:cs="Arial"/>
        </w:rPr>
        <w:t xml:space="preserve">. </w:t>
      </w:r>
      <w:r w:rsidR="00061356">
        <w:rPr>
          <w:rFonts w:cs="Arial"/>
        </w:rPr>
        <w:t xml:space="preserve"> </w:t>
      </w:r>
      <w:r w:rsidRPr="00CB679B">
        <w:rPr>
          <w:rFonts w:cs="Arial"/>
        </w:rPr>
        <w:t xml:space="preserve">See the </w:t>
      </w:r>
      <w:r w:rsidR="00061356">
        <w:rPr>
          <w:rFonts w:cs="Arial"/>
        </w:rPr>
        <w:t xml:space="preserve">FY </w:t>
      </w:r>
      <w:r w:rsidR="00592B04" w:rsidRPr="00CB679B">
        <w:rPr>
          <w:rFonts w:cs="Arial"/>
        </w:rPr>
        <w:t>2016-17</w:t>
      </w:r>
      <w:r w:rsidRPr="00CB679B">
        <w:rPr>
          <w:rFonts w:cs="Arial"/>
        </w:rPr>
        <w:t xml:space="preserve"> Annual </w:t>
      </w:r>
      <w:r w:rsidR="00C16875">
        <w:rPr>
          <w:rFonts w:cs="Arial"/>
        </w:rPr>
        <w:t xml:space="preserve">Action </w:t>
      </w:r>
      <w:r w:rsidRPr="00CB679B">
        <w:rPr>
          <w:rFonts w:cs="Arial"/>
        </w:rPr>
        <w:t>Plan</w:t>
      </w:r>
      <w:r w:rsidR="00CB679B">
        <w:rPr>
          <w:rFonts w:cs="Arial"/>
        </w:rPr>
        <w:t xml:space="preserve"> </w:t>
      </w:r>
      <w:r w:rsidRPr="00CB679B">
        <w:rPr>
          <w:rFonts w:cs="Arial"/>
        </w:rPr>
        <w:t>Methods of Distribution (AP 30) at </w:t>
      </w:r>
      <w:hyperlink r:id="rId11" w:history="1">
        <w:r w:rsidR="003B09E9" w:rsidRPr="003B09E9">
          <w:rPr>
            <w:rStyle w:val="Hyperlink"/>
            <w:rFonts w:cs="Arial"/>
            <w:color w:val="3333FF"/>
          </w:rPr>
          <w:t>http://hcd.ca.gov/policy-research/plans-reports/index.shtml</w:t>
        </w:r>
        <w:r w:rsidRPr="003B09E9">
          <w:rPr>
            <w:rStyle w:val="Hyperlink"/>
            <w:rFonts w:cs="Arial"/>
            <w:color w:val="3333FF"/>
          </w:rPr>
          <w:t>or</w:t>
        </w:r>
      </w:hyperlink>
      <w:r w:rsidRPr="00CB679B">
        <w:rPr>
          <w:rFonts w:cs="Arial"/>
        </w:rPr>
        <w:t xml:space="preserve"> a description of the allocation method for each </w:t>
      </w:r>
      <w:r w:rsidR="0050703B">
        <w:rPr>
          <w:rFonts w:cs="Arial"/>
        </w:rPr>
        <w:t xml:space="preserve">program for FY 2016-17.  </w:t>
      </w:r>
    </w:p>
    <w:p w14:paraId="5F6BBB8A" w14:textId="77777777" w:rsidR="00F25652" w:rsidRPr="003D517D" w:rsidRDefault="00F25652" w:rsidP="00F25652">
      <w:pPr>
        <w:widowControl w:val="0"/>
        <w:spacing w:before="100" w:beforeAutospacing="1" w:after="100" w:afterAutospacing="1"/>
        <w:rPr>
          <w:b/>
          <w:szCs w:val="24"/>
          <w:u w:val="single"/>
        </w:rPr>
      </w:pPr>
      <w:r w:rsidRPr="003D517D">
        <w:rPr>
          <w:b/>
          <w:szCs w:val="24"/>
          <w:u w:val="single"/>
        </w:rPr>
        <w:t>Leveraging</w:t>
      </w:r>
    </w:p>
    <w:p w14:paraId="43068608" w14:textId="77777777" w:rsidR="00F25652" w:rsidRPr="00CC0660" w:rsidRDefault="00F25652" w:rsidP="00F25652">
      <w:pPr>
        <w:widowControl w:val="0"/>
        <w:spacing w:line="204" w:lineRule="auto"/>
        <w:rPr>
          <w:b/>
          <w:szCs w:val="24"/>
          <w:u w:val="single"/>
        </w:rPr>
      </w:pPr>
      <w:r w:rsidRPr="00CC0660">
        <w:rPr>
          <w:b/>
          <w:szCs w:val="24"/>
          <w:u w:val="single"/>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14:paraId="6C50C622" w14:textId="77777777" w:rsidR="00F25652" w:rsidRPr="00CB679B" w:rsidRDefault="00F25652" w:rsidP="00213D54">
      <w:pPr>
        <w:widowControl w:val="0"/>
        <w:spacing w:before="100" w:beforeAutospacing="1" w:after="100" w:afterAutospacing="1"/>
        <w:rPr>
          <w:rFonts w:cs="Arial"/>
        </w:rPr>
      </w:pPr>
      <w:r w:rsidRPr="00CB679B">
        <w:rPr>
          <w:rFonts w:cs="Arial"/>
          <w:b/>
        </w:rPr>
        <w:t xml:space="preserve">CDBG: </w:t>
      </w:r>
      <w:r w:rsidRPr="00CB679B">
        <w:rPr>
          <w:rFonts w:cs="Arial"/>
        </w:rPr>
        <w:t>Proposals to use</w:t>
      </w:r>
      <w:r w:rsidR="00CB679B">
        <w:rPr>
          <w:rFonts w:cs="Arial"/>
        </w:rPr>
        <w:t xml:space="preserve"> </w:t>
      </w:r>
      <w:r w:rsidRPr="00CB679B">
        <w:rPr>
          <w:rFonts w:cs="Arial"/>
        </w:rPr>
        <w:t>CDBG funds with other leveraged funds can improve the feasibility of programs and projects since available funds</w:t>
      </w:r>
      <w:r w:rsidR="0050703B">
        <w:rPr>
          <w:rFonts w:cs="Arial"/>
        </w:rPr>
        <w:t xml:space="preserve"> and resources</w:t>
      </w:r>
      <w:r w:rsidRPr="00CB679B">
        <w:rPr>
          <w:rFonts w:cs="Arial"/>
        </w:rPr>
        <w:t xml:space="preserve"> are often insufficient to fully support most Community Development</w:t>
      </w:r>
      <w:r w:rsidR="00CB679B">
        <w:rPr>
          <w:rFonts w:cs="Arial"/>
        </w:rPr>
        <w:t xml:space="preserve"> (CD)</w:t>
      </w:r>
      <w:r w:rsidRPr="00CB679B">
        <w:rPr>
          <w:rFonts w:cs="Arial"/>
        </w:rPr>
        <w:t xml:space="preserve"> or Economic Development </w:t>
      </w:r>
      <w:r w:rsidR="00CB679B">
        <w:rPr>
          <w:rFonts w:cs="Arial"/>
        </w:rPr>
        <w:t xml:space="preserve">(ED) </w:t>
      </w:r>
      <w:r w:rsidRPr="00CB679B">
        <w:rPr>
          <w:rFonts w:cs="Arial"/>
        </w:rPr>
        <w:t xml:space="preserve">projects and programs. </w:t>
      </w:r>
      <w:r w:rsidR="00CB679B">
        <w:rPr>
          <w:rFonts w:cs="Arial"/>
        </w:rPr>
        <w:t xml:space="preserve"> </w:t>
      </w:r>
      <w:r w:rsidRPr="00CB679B">
        <w:rPr>
          <w:rFonts w:cs="Arial"/>
        </w:rPr>
        <w:t>CDBG is generally used as gap financing in conjunction with other federal, state</w:t>
      </w:r>
      <w:r w:rsidR="0050703B">
        <w:rPr>
          <w:rFonts w:cs="Arial"/>
        </w:rPr>
        <w:t xml:space="preserve">, </w:t>
      </w:r>
      <w:r w:rsidR="001778C2">
        <w:rPr>
          <w:rFonts w:cs="Arial"/>
        </w:rPr>
        <w:t>and private funds</w:t>
      </w:r>
      <w:r w:rsidRPr="00CB679B">
        <w:rPr>
          <w:rFonts w:cs="Arial"/>
        </w:rPr>
        <w:t>.</w:t>
      </w:r>
      <w:r w:rsidR="00CB679B">
        <w:rPr>
          <w:rFonts w:cs="Arial"/>
        </w:rPr>
        <w:t xml:space="preserve"> </w:t>
      </w:r>
      <w:r w:rsidRPr="00CB679B">
        <w:rPr>
          <w:rFonts w:cs="Arial"/>
        </w:rPr>
        <w:t xml:space="preserve"> Localities are encouraged to provide local resources and obtain private support, and to report </w:t>
      </w:r>
      <w:r w:rsidR="001778C2">
        <w:rPr>
          <w:rFonts w:cs="Arial"/>
        </w:rPr>
        <w:t xml:space="preserve">anticipated and secured </w:t>
      </w:r>
      <w:r w:rsidRPr="00CB679B">
        <w:rPr>
          <w:rFonts w:cs="Arial"/>
        </w:rPr>
        <w:t xml:space="preserve">funds </w:t>
      </w:r>
      <w:r w:rsidR="001778C2">
        <w:rPr>
          <w:rFonts w:cs="Arial"/>
        </w:rPr>
        <w:t>for</w:t>
      </w:r>
      <w:r w:rsidRPr="00CB679B">
        <w:rPr>
          <w:rFonts w:cs="Arial"/>
        </w:rPr>
        <w:t xml:space="preserve"> the proposed activities.</w:t>
      </w:r>
      <w:r w:rsidR="00CB679B">
        <w:rPr>
          <w:rFonts w:cs="Arial"/>
        </w:rPr>
        <w:t xml:space="preserve"> </w:t>
      </w:r>
      <w:r w:rsidRPr="00CB679B">
        <w:rPr>
          <w:rFonts w:cs="Arial"/>
        </w:rPr>
        <w:t xml:space="preserve"> Local contributions typically consist of in-kind staff services, grant administration, gas tax funds, public works funds, permit and other fee waivers. </w:t>
      </w:r>
      <w:r w:rsidR="0050703B">
        <w:rPr>
          <w:rFonts w:cs="Arial"/>
        </w:rPr>
        <w:t xml:space="preserve"> </w:t>
      </w:r>
      <w:r w:rsidRPr="00CB679B">
        <w:rPr>
          <w:rFonts w:cs="Arial"/>
        </w:rPr>
        <w:t>Private contributions can include mortgage loans, grants from private agencies, in-kind staff time, sweat-equity from rehabilitation projects, and discounts on services from title, pest and appraisal companies. </w:t>
      </w:r>
    </w:p>
    <w:p w14:paraId="71CDEF66" w14:textId="77777777" w:rsidR="00F25652" w:rsidRPr="00C0352B" w:rsidRDefault="00F25652" w:rsidP="00F03B8C">
      <w:pPr>
        <w:widowControl w:val="0"/>
        <w:spacing w:before="100" w:beforeAutospacing="1" w:after="100" w:afterAutospacing="1"/>
        <w:rPr>
          <w:rFonts w:cs="Arial"/>
        </w:rPr>
      </w:pPr>
      <w:r w:rsidRPr="00CB679B">
        <w:rPr>
          <w:rFonts w:cs="Arial"/>
          <w:b/>
        </w:rPr>
        <w:t>HOME</w:t>
      </w:r>
      <w:r w:rsidRPr="00CB679B">
        <w:rPr>
          <w:rFonts w:cs="Arial"/>
        </w:rPr>
        <w:t xml:space="preserve">: </w:t>
      </w:r>
      <w:r w:rsidR="00CB679B">
        <w:rPr>
          <w:rFonts w:cs="Arial"/>
        </w:rPr>
        <w:t xml:space="preserve"> The HOME </w:t>
      </w:r>
      <w:r w:rsidR="002B026F">
        <w:rPr>
          <w:rFonts w:cs="Arial"/>
        </w:rPr>
        <w:t xml:space="preserve">Program’s </w:t>
      </w:r>
      <w:r w:rsidRPr="00CB679B">
        <w:rPr>
          <w:rFonts w:cs="Arial"/>
        </w:rPr>
        <w:t>primary forms of leverage for HOME funds are tax credit equity and private bank loans associated with multifamily rental housing</w:t>
      </w:r>
      <w:r w:rsidR="0050703B">
        <w:rPr>
          <w:rFonts w:cs="Arial"/>
        </w:rPr>
        <w:t>,</w:t>
      </w:r>
      <w:r w:rsidRPr="00CB679B">
        <w:rPr>
          <w:rFonts w:cs="Arial"/>
        </w:rPr>
        <w:t xml:space="preserve"> new construction or rehabilitation projects. </w:t>
      </w:r>
      <w:r w:rsidR="00CB679B">
        <w:rPr>
          <w:rFonts w:cs="Arial"/>
        </w:rPr>
        <w:t xml:space="preserve"> </w:t>
      </w:r>
      <w:r w:rsidRPr="00CB679B">
        <w:rPr>
          <w:rFonts w:cs="Arial"/>
        </w:rPr>
        <w:t xml:space="preserve">Secondarily, first mortgage financing on homebuyer acquisition </w:t>
      </w:r>
      <w:r w:rsidRPr="00CB679B">
        <w:rPr>
          <w:rFonts w:cs="Arial"/>
        </w:rPr>
        <w:lastRenderedPageBreak/>
        <w:t xml:space="preserve">activities provides another main source of leverage. </w:t>
      </w:r>
      <w:r w:rsidR="00CB679B">
        <w:rPr>
          <w:rFonts w:cs="Arial"/>
        </w:rPr>
        <w:t xml:space="preserve"> </w:t>
      </w:r>
      <w:r w:rsidRPr="00CB679B">
        <w:rPr>
          <w:rFonts w:cs="Arial"/>
        </w:rPr>
        <w:t xml:space="preserve">Typically, </w:t>
      </w:r>
      <w:r w:rsidRPr="001D536F">
        <w:rPr>
          <w:rFonts w:cs="Arial"/>
          <w:b/>
        </w:rPr>
        <w:t>every $1</w:t>
      </w:r>
      <w:r w:rsidRPr="00C0352B">
        <w:rPr>
          <w:rFonts w:cs="Arial"/>
        </w:rPr>
        <w:t xml:space="preserve"> in HOME funds </w:t>
      </w:r>
      <w:r w:rsidR="00CB679B" w:rsidRPr="00C0352B">
        <w:rPr>
          <w:rFonts w:cs="Arial"/>
        </w:rPr>
        <w:t xml:space="preserve">leverages </w:t>
      </w:r>
      <w:r w:rsidR="00CB679B" w:rsidRPr="001D536F">
        <w:rPr>
          <w:rFonts w:cs="Arial"/>
          <w:b/>
        </w:rPr>
        <w:t>$</w:t>
      </w:r>
      <w:r w:rsidRPr="001D536F">
        <w:rPr>
          <w:rFonts w:cs="Arial"/>
          <w:b/>
        </w:rPr>
        <w:t>3-$4</w:t>
      </w:r>
      <w:r w:rsidRPr="00C0352B">
        <w:rPr>
          <w:rFonts w:cs="Arial"/>
        </w:rPr>
        <w:t xml:space="preserve"> in private investment. </w:t>
      </w:r>
      <w:r w:rsidR="00CB679B" w:rsidRPr="00C0352B">
        <w:rPr>
          <w:rFonts w:cs="Arial"/>
        </w:rPr>
        <w:t xml:space="preserve"> </w:t>
      </w:r>
      <w:r w:rsidRPr="00C0352B">
        <w:rPr>
          <w:rFonts w:cs="Arial"/>
        </w:rPr>
        <w:t>Since HOME generates</w:t>
      </w:r>
      <w:r w:rsidR="0050703B" w:rsidRPr="00C0352B">
        <w:rPr>
          <w:rFonts w:cs="Arial"/>
        </w:rPr>
        <w:t xml:space="preserve"> </w:t>
      </w:r>
      <w:r w:rsidRPr="00C0352B">
        <w:rPr>
          <w:rFonts w:cs="Arial"/>
        </w:rPr>
        <w:t xml:space="preserve">additional leverage, </w:t>
      </w:r>
      <w:r w:rsidR="0050703B" w:rsidRPr="00C0352B">
        <w:rPr>
          <w:rFonts w:cs="Arial"/>
        </w:rPr>
        <w:t xml:space="preserve">grantees are able </w:t>
      </w:r>
      <w:r w:rsidRPr="00C0352B">
        <w:rPr>
          <w:rFonts w:cs="Arial"/>
        </w:rPr>
        <w:t xml:space="preserve">meet </w:t>
      </w:r>
      <w:r w:rsidR="0050703B" w:rsidRPr="00C0352B">
        <w:rPr>
          <w:rFonts w:cs="Arial"/>
        </w:rPr>
        <w:t>the</w:t>
      </w:r>
      <w:r w:rsidRPr="00C0352B">
        <w:rPr>
          <w:rFonts w:cs="Arial"/>
        </w:rPr>
        <w:t xml:space="preserve"> match requirement from these types of sources, as well as other state and local government financing for HOME-eligible activities. </w:t>
      </w:r>
      <w:r w:rsidR="00CB679B" w:rsidRPr="00C0352B">
        <w:rPr>
          <w:rFonts w:cs="Arial"/>
        </w:rPr>
        <w:t xml:space="preserve"> </w:t>
      </w:r>
      <w:r w:rsidR="0050703B" w:rsidRPr="00C0352B">
        <w:rPr>
          <w:rFonts w:cs="Arial"/>
        </w:rPr>
        <w:t xml:space="preserve">HOME currently has </w:t>
      </w:r>
      <w:r w:rsidR="0057410C">
        <w:rPr>
          <w:rFonts w:cs="Arial"/>
        </w:rPr>
        <w:t xml:space="preserve">an </w:t>
      </w:r>
      <w:r w:rsidR="0050703B" w:rsidRPr="00C0352B">
        <w:rPr>
          <w:rFonts w:cs="Arial"/>
        </w:rPr>
        <w:t>excess</w:t>
      </w:r>
      <w:r w:rsidR="0057410C">
        <w:rPr>
          <w:rFonts w:cs="Arial"/>
        </w:rPr>
        <w:t xml:space="preserve"> of leveraged funds</w:t>
      </w:r>
      <w:r w:rsidR="0050703B" w:rsidRPr="00C0352B">
        <w:rPr>
          <w:rFonts w:cs="Arial"/>
        </w:rPr>
        <w:t xml:space="preserve">, </w:t>
      </w:r>
      <w:r w:rsidR="0057410C">
        <w:rPr>
          <w:rFonts w:cs="Arial"/>
        </w:rPr>
        <w:t>that will be used to</w:t>
      </w:r>
      <w:r w:rsidRPr="00C0352B">
        <w:rPr>
          <w:rFonts w:cs="Arial"/>
        </w:rPr>
        <w:t xml:space="preserve"> meet </w:t>
      </w:r>
      <w:r w:rsidR="0057410C">
        <w:rPr>
          <w:rFonts w:cs="Arial"/>
        </w:rPr>
        <w:t>the</w:t>
      </w:r>
      <w:r w:rsidR="0057410C" w:rsidRPr="00C0352B">
        <w:rPr>
          <w:rFonts w:cs="Arial"/>
        </w:rPr>
        <w:t xml:space="preserve"> </w:t>
      </w:r>
      <w:r w:rsidRPr="00C0352B">
        <w:rPr>
          <w:rFonts w:cs="Arial"/>
        </w:rPr>
        <w:t>match requirement for the next several years (</w:t>
      </w:r>
      <w:r w:rsidRPr="00C0352B">
        <w:rPr>
          <w:rFonts w:cs="Arial"/>
          <w:i/>
        </w:rPr>
        <w:t>See Table 6 below</w:t>
      </w:r>
      <w:r w:rsidRPr="00C0352B">
        <w:rPr>
          <w:rFonts w:cs="Arial"/>
        </w:rPr>
        <w:t>).</w:t>
      </w:r>
    </w:p>
    <w:p w14:paraId="04660F60" w14:textId="3857DAB8" w:rsidR="00F25652" w:rsidRDefault="00F25652" w:rsidP="006C0DE4">
      <w:pPr>
        <w:spacing w:after="0"/>
        <w:ind w:right="224"/>
        <w:rPr>
          <w:rFonts w:cs="Arial"/>
        </w:rPr>
      </w:pPr>
      <w:r w:rsidRPr="00C0352B">
        <w:rPr>
          <w:rFonts w:cs="Arial"/>
          <w:b/>
        </w:rPr>
        <w:t>ESG: </w:t>
      </w:r>
      <w:r w:rsidR="006C0DE4">
        <w:rPr>
          <w:rFonts w:cs="Arial"/>
          <w:b/>
        </w:rPr>
        <w:t xml:space="preserve"> </w:t>
      </w:r>
      <w:r w:rsidR="006C0DE4" w:rsidRPr="004A229F">
        <w:rPr>
          <w:rFonts w:cs="Arial"/>
        </w:rPr>
        <w:t xml:space="preserve">Federal ESG </w:t>
      </w:r>
      <w:r w:rsidR="003B09E9">
        <w:rPr>
          <w:rFonts w:cs="Arial"/>
        </w:rPr>
        <w:t>m</w:t>
      </w:r>
      <w:r w:rsidR="006C0DE4" w:rsidRPr="004A229F">
        <w:rPr>
          <w:rFonts w:cs="Arial"/>
        </w:rPr>
        <w:t xml:space="preserve">atch is provided by its subrecipients on a dollar for dollar basis.  Specific sources of match or leverage are identified at the time of application and must comply with </w:t>
      </w:r>
      <w:hyperlink r:id="rId12" w:history="1">
        <w:r w:rsidR="006C0DE4" w:rsidRPr="003B09E9">
          <w:rPr>
            <w:rStyle w:val="Hyperlink"/>
            <w:rFonts w:cs="Arial"/>
            <w:color w:val="3333FF"/>
          </w:rPr>
          <w:t>24 CFR 576.201</w:t>
        </w:r>
      </w:hyperlink>
      <w:r w:rsidR="006C0DE4" w:rsidRPr="003B09E9">
        <w:rPr>
          <w:rFonts w:cs="Arial"/>
          <w:color w:val="3333FF"/>
        </w:rPr>
        <w:t>.</w:t>
      </w:r>
      <w:r w:rsidR="006C0DE4" w:rsidRPr="003B09E9">
        <w:rPr>
          <w:rFonts w:cs="Arial"/>
          <w:b/>
          <w:color w:val="3333FF"/>
        </w:rPr>
        <w:t xml:space="preserve">  </w:t>
      </w:r>
      <w:r w:rsidR="006C0DE4">
        <w:rPr>
          <w:rFonts w:cs="Arial"/>
          <w:spacing w:val="-2"/>
        </w:rPr>
        <w:t>S</w:t>
      </w:r>
      <w:r w:rsidR="006C0DE4" w:rsidRPr="004A229F">
        <w:rPr>
          <w:rFonts w:cs="Arial"/>
          <w:spacing w:val="1"/>
        </w:rPr>
        <w:t>o</w:t>
      </w:r>
      <w:r w:rsidR="006C0DE4" w:rsidRPr="004A229F">
        <w:rPr>
          <w:rFonts w:cs="Arial"/>
          <w:spacing w:val="-1"/>
        </w:rPr>
        <w:t>u</w:t>
      </w:r>
      <w:r w:rsidR="006C0DE4" w:rsidRPr="004A229F">
        <w:rPr>
          <w:rFonts w:cs="Arial"/>
        </w:rPr>
        <w:t>rces</w:t>
      </w:r>
      <w:r w:rsidR="006C0DE4" w:rsidRPr="004A229F">
        <w:rPr>
          <w:rFonts w:cs="Arial"/>
          <w:spacing w:val="-2"/>
        </w:rPr>
        <w:t xml:space="preserve"> </w:t>
      </w:r>
      <w:r w:rsidR="006C0DE4" w:rsidRPr="004A229F">
        <w:rPr>
          <w:rFonts w:cs="Arial"/>
          <w:spacing w:val="1"/>
        </w:rPr>
        <w:t>o</w:t>
      </w:r>
      <w:r w:rsidR="006C0DE4" w:rsidRPr="004A229F">
        <w:rPr>
          <w:rFonts w:cs="Arial"/>
        </w:rPr>
        <w:t xml:space="preserve">f </w:t>
      </w:r>
      <w:r w:rsidR="006C0DE4" w:rsidRPr="004A229F">
        <w:rPr>
          <w:rFonts w:cs="Arial"/>
          <w:spacing w:val="1"/>
        </w:rPr>
        <w:t>m</w:t>
      </w:r>
      <w:r w:rsidR="006C0DE4" w:rsidRPr="004A229F">
        <w:rPr>
          <w:rFonts w:cs="Arial"/>
        </w:rPr>
        <w:t xml:space="preserve">atch </w:t>
      </w:r>
      <w:r w:rsidR="006C0DE4">
        <w:rPr>
          <w:rFonts w:cs="Arial"/>
          <w:spacing w:val="-2"/>
        </w:rPr>
        <w:t xml:space="preserve">may include </w:t>
      </w:r>
      <w:r w:rsidR="006C0DE4" w:rsidRPr="004A229F">
        <w:rPr>
          <w:rFonts w:cs="Arial"/>
          <w:spacing w:val="1"/>
        </w:rPr>
        <w:t>(</w:t>
      </w:r>
      <w:r w:rsidR="006C0DE4" w:rsidRPr="004A229F">
        <w:rPr>
          <w:rFonts w:cs="Arial"/>
          <w:spacing w:val="-2"/>
        </w:rPr>
        <w:t>1</w:t>
      </w:r>
      <w:r w:rsidR="006C0DE4" w:rsidRPr="004A229F">
        <w:rPr>
          <w:rFonts w:cs="Arial"/>
        </w:rPr>
        <w:t>)</w:t>
      </w:r>
      <w:r w:rsidR="006C0DE4" w:rsidRPr="004A229F">
        <w:rPr>
          <w:rFonts w:cs="Arial"/>
          <w:spacing w:val="2"/>
        </w:rPr>
        <w:t xml:space="preserve"> </w:t>
      </w:r>
      <w:r w:rsidR="006C0DE4" w:rsidRPr="004A229F">
        <w:rPr>
          <w:rFonts w:cs="Arial"/>
          <w:spacing w:val="-2"/>
        </w:rPr>
        <w:t>l</w:t>
      </w:r>
      <w:r w:rsidR="006C0DE4" w:rsidRPr="004A229F">
        <w:rPr>
          <w:rFonts w:cs="Arial"/>
          <w:spacing w:val="1"/>
        </w:rPr>
        <w:t>o</w:t>
      </w:r>
      <w:r w:rsidR="006C0DE4" w:rsidRPr="004A229F">
        <w:rPr>
          <w:rFonts w:cs="Arial"/>
        </w:rPr>
        <w:t>cal</w:t>
      </w:r>
      <w:r w:rsidR="006C0DE4" w:rsidRPr="004A229F">
        <w:rPr>
          <w:rFonts w:cs="Arial"/>
          <w:spacing w:val="-2"/>
        </w:rPr>
        <w:t xml:space="preserve"> </w:t>
      </w:r>
      <w:r w:rsidR="006C0DE4" w:rsidRPr="004A229F">
        <w:rPr>
          <w:rFonts w:cs="Arial"/>
          <w:spacing w:val="-1"/>
        </w:rPr>
        <w:t xml:space="preserve">funds from </w:t>
      </w:r>
      <w:r w:rsidR="006C0DE4" w:rsidRPr="004A229F">
        <w:rPr>
          <w:rFonts w:cs="Arial"/>
        </w:rPr>
        <w:t>ci</w:t>
      </w:r>
      <w:r w:rsidR="006C0DE4" w:rsidRPr="004A229F">
        <w:rPr>
          <w:rFonts w:cs="Arial"/>
          <w:spacing w:val="1"/>
        </w:rPr>
        <w:t>t</w:t>
      </w:r>
      <w:r w:rsidR="006C0DE4" w:rsidRPr="004A229F">
        <w:rPr>
          <w:rFonts w:cs="Arial"/>
        </w:rPr>
        <w:t>ies a</w:t>
      </w:r>
      <w:r w:rsidR="006C0DE4" w:rsidRPr="004A229F">
        <w:rPr>
          <w:rFonts w:cs="Arial"/>
          <w:spacing w:val="-1"/>
        </w:rPr>
        <w:t>n</w:t>
      </w:r>
      <w:r w:rsidR="006C0DE4" w:rsidRPr="004A229F">
        <w:rPr>
          <w:rFonts w:cs="Arial"/>
        </w:rPr>
        <w:t>d</w:t>
      </w:r>
      <w:r w:rsidR="006C0DE4" w:rsidRPr="004A229F">
        <w:rPr>
          <w:rFonts w:cs="Arial"/>
          <w:spacing w:val="-1"/>
        </w:rPr>
        <w:t xml:space="preserve"> </w:t>
      </w:r>
      <w:r w:rsidR="006C0DE4" w:rsidRPr="004A229F">
        <w:rPr>
          <w:rFonts w:cs="Arial"/>
        </w:rPr>
        <w:t>c</w:t>
      </w:r>
      <w:r w:rsidR="006C0DE4" w:rsidRPr="004A229F">
        <w:rPr>
          <w:rFonts w:cs="Arial"/>
          <w:spacing w:val="1"/>
        </w:rPr>
        <w:t>o</w:t>
      </w:r>
      <w:r w:rsidR="006C0DE4" w:rsidRPr="004A229F">
        <w:rPr>
          <w:rFonts w:cs="Arial"/>
          <w:spacing w:val="-1"/>
        </w:rPr>
        <w:t>un</w:t>
      </w:r>
      <w:r w:rsidR="006C0DE4" w:rsidRPr="004A229F">
        <w:rPr>
          <w:rFonts w:cs="Arial"/>
        </w:rPr>
        <w:t>tie</w:t>
      </w:r>
      <w:r w:rsidR="006C0DE4" w:rsidRPr="004A229F">
        <w:rPr>
          <w:rFonts w:cs="Arial"/>
          <w:spacing w:val="-2"/>
        </w:rPr>
        <w:t>s</w:t>
      </w:r>
      <w:r w:rsidR="006C0DE4" w:rsidRPr="004A229F">
        <w:rPr>
          <w:rFonts w:cs="Arial"/>
        </w:rPr>
        <w:t>,</w:t>
      </w:r>
      <w:r w:rsidR="006C0DE4" w:rsidRPr="004A229F">
        <w:rPr>
          <w:rFonts w:cs="Arial"/>
          <w:spacing w:val="1"/>
        </w:rPr>
        <w:t xml:space="preserve"> </w:t>
      </w:r>
      <w:r w:rsidR="006C0DE4" w:rsidRPr="004A229F">
        <w:rPr>
          <w:rFonts w:cs="Arial"/>
          <w:spacing w:val="-2"/>
        </w:rPr>
        <w:t>(</w:t>
      </w:r>
      <w:r w:rsidR="006C0DE4" w:rsidRPr="004A229F">
        <w:rPr>
          <w:rFonts w:cs="Arial"/>
          <w:spacing w:val="1"/>
        </w:rPr>
        <w:t>2</w:t>
      </w:r>
      <w:r w:rsidR="006C0DE4" w:rsidRPr="004A229F">
        <w:rPr>
          <w:rFonts w:cs="Arial"/>
        </w:rPr>
        <w:t>)</w:t>
      </w:r>
      <w:r w:rsidR="006C0DE4" w:rsidRPr="004A229F">
        <w:rPr>
          <w:rFonts w:cs="Arial"/>
          <w:spacing w:val="-1"/>
        </w:rPr>
        <w:t xml:space="preserve"> </w:t>
      </w:r>
      <w:r w:rsidR="006C0DE4" w:rsidRPr="004A229F">
        <w:rPr>
          <w:rFonts w:cs="Arial"/>
          <w:spacing w:val="1"/>
        </w:rPr>
        <w:t>p</w:t>
      </w:r>
      <w:r w:rsidR="006C0DE4" w:rsidRPr="004A229F">
        <w:rPr>
          <w:rFonts w:cs="Arial"/>
        </w:rPr>
        <w:t>r</w:t>
      </w:r>
      <w:r w:rsidR="006C0DE4" w:rsidRPr="004A229F">
        <w:rPr>
          <w:rFonts w:cs="Arial"/>
          <w:spacing w:val="-3"/>
        </w:rPr>
        <w:t>i</w:t>
      </w:r>
      <w:r w:rsidR="006C0DE4" w:rsidRPr="004A229F">
        <w:rPr>
          <w:rFonts w:cs="Arial"/>
          <w:spacing w:val="1"/>
        </w:rPr>
        <w:t>v</w:t>
      </w:r>
      <w:r w:rsidR="006C0DE4" w:rsidRPr="004A229F">
        <w:rPr>
          <w:rFonts w:cs="Arial"/>
        </w:rPr>
        <w:t>ate</w:t>
      </w:r>
      <w:r w:rsidR="006C0DE4" w:rsidRPr="004A229F">
        <w:rPr>
          <w:rFonts w:cs="Arial"/>
          <w:spacing w:val="-3"/>
        </w:rPr>
        <w:t xml:space="preserve"> </w:t>
      </w:r>
      <w:r w:rsidR="006C0DE4" w:rsidRPr="004A229F">
        <w:rPr>
          <w:rFonts w:cs="Arial"/>
          <w:spacing w:val="2"/>
        </w:rPr>
        <w:t>f</w:t>
      </w:r>
      <w:r w:rsidR="006C0DE4" w:rsidRPr="004A229F">
        <w:rPr>
          <w:rFonts w:cs="Arial"/>
          <w:spacing w:val="-1"/>
        </w:rPr>
        <w:t>und</w:t>
      </w:r>
      <w:r w:rsidR="006C0DE4">
        <w:rPr>
          <w:rFonts w:cs="Arial"/>
        </w:rPr>
        <w:t>s</w:t>
      </w:r>
      <w:r w:rsidR="006C0DE4" w:rsidRPr="004A229F">
        <w:rPr>
          <w:rFonts w:cs="Arial"/>
          <w:spacing w:val="-1"/>
        </w:rPr>
        <w:t xml:space="preserve"> </w:t>
      </w:r>
      <w:r w:rsidR="006C0DE4" w:rsidRPr="004A229F">
        <w:rPr>
          <w:rFonts w:cs="Arial"/>
        </w:rPr>
        <w:t>inc</w:t>
      </w:r>
      <w:r w:rsidR="006C0DE4" w:rsidRPr="004A229F">
        <w:rPr>
          <w:rFonts w:cs="Arial"/>
          <w:spacing w:val="-1"/>
        </w:rPr>
        <w:t>lud</w:t>
      </w:r>
      <w:r w:rsidR="006C0DE4" w:rsidRPr="004A229F">
        <w:rPr>
          <w:rFonts w:cs="Arial"/>
        </w:rPr>
        <w:t>i</w:t>
      </w:r>
      <w:r w:rsidR="006C0DE4" w:rsidRPr="004A229F">
        <w:rPr>
          <w:rFonts w:cs="Arial"/>
          <w:spacing w:val="-1"/>
        </w:rPr>
        <w:t>n</w:t>
      </w:r>
      <w:r w:rsidR="006C0DE4" w:rsidRPr="004A229F">
        <w:rPr>
          <w:rFonts w:cs="Arial"/>
        </w:rPr>
        <w:t>g agency f</w:t>
      </w:r>
      <w:r w:rsidR="006C0DE4" w:rsidRPr="004A229F">
        <w:rPr>
          <w:rFonts w:cs="Arial"/>
          <w:spacing w:val="1"/>
        </w:rPr>
        <w:t>u</w:t>
      </w:r>
      <w:r w:rsidR="006C0DE4" w:rsidRPr="004A229F">
        <w:rPr>
          <w:rFonts w:cs="Arial"/>
          <w:spacing w:val="-1"/>
        </w:rPr>
        <w:t>nd</w:t>
      </w:r>
      <w:r w:rsidR="006C0DE4" w:rsidRPr="004A229F">
        <w:rPr>
          <w:rFonts w:cs="Arial"/>
        </w:rPr>
        <w:t>ra</w:t>
      </w:r>
      <w:r w:rsidR="006C0DE4" w:rsidRPr="004A229F">
        <w:rPr>
          <w:rFonts w:cs="Arial"/>
          <w:spacing w:val="-1"/>
        </w:rPr>
        <w:t>i</w:t>
      </w:r>
      <w:r w:rsidR="006C0DE4" w:rsidRPr="004A229F">
        <w:rPr>
          <w:rFonts w:cs="Arial"/>
        </w:rPr>
        <w:t>si</w:t>
      </w:r>
      <w:r w:rsidR="006C0DE4" w:rsidRPr="004A229F">
        <w:rPr>
          <w:rFonts w:cs="Arial"/>
          <w:spacing w:val="-1"/>
        </w:rPr>
        <w:t>ng</w:t>
      </w:r>
      <w:r w:rsidR="006C0DE4" w:rsidRPr="004A229F">
        <w:rPr>
          <w:rFonts w:cs="Arial"/>
        </w:rPr>
        <w:t>, cas</w:t>
      </w:r>
      <w:r w:rsidR="006C0DE4" w:rsidRPr="004A229F">
        <w:rPr>
          <w:rFonts w:cs="Arial"/>
          <w:spacing w:val="-1"/>
        </w:rPr>
        <w:t>h</w:t>
      </w:r>
      <w:r w:rsidR="006C0DE4" w:rsidRPr="004A229F">
        <w:rPr>
          <w:rFonts w:cs="Arial"/>
        </w:rPr>
        <w:t>;</w:t>
      </w:r>
      <w:r w:rsidR="006C0DE4" w:rsidRPr="004A229F">
        <w:rPr>
          <w:rFonts w:cs="Arial"/>
          <w:spacing w:val="1"/>
        </w:rPr>
        <w:t xml:space="preserve"> </w:t>
      </w:r>
      <w:r w:rsidR="006C0DE4" w:rsidRPr="004A229F">
        <w:rPr>
          <w:rFonts w:cs="Arial"/>
        </w:rPr>
        <w:t>and</w:t>
      </w:r>
      <w:r w:rsidR="006C0DE4" w:rsidRPr="004A229F">
        <w:rPr>
          <w:rFonts w:cs="Arial"/>
          <w:spacing w:val="-1"/>
        </w:rPr>
        <w:t xml:space="preserve"> </w:t>
      </w:r>
      <w:r w:rsidR="006C0DE4" w:rsidRPr="004A229F">
        <w:rPr>
          <w:rFonts w:cs="Arial"/>
          <w:spacing w:val="1"/>
        </w:rPr>
        <w:t>(3</w:t>
      </w:r>
      <w:r w:rsidR="006C0DE4" w:rsidRPr="004A229F">
        <w:rPr>
          <w:rFonts w:cs="Arial"/>
        </w:rPr>
        <w:t>)</w:t>
      </w:r>
      <w:r w:rsidR="006C0DE4" w:rsidRPr="004A229F">
        <w:rPr>
          <w:rFonts w:cs="Arial"/>
          <w:spacing w:val="1"/>
        </w:rPr>
        <w:t xml:space="preserve"> </w:t>
      </w:r>
      <w:r w:rsidR="006C0DE4" w:rsidRPr="004A229F">
        <w:rPr>
          <w:rFonts w:cs="Arial"/>
          <w:spacing w:val="-1"/>
        </w:rPr>
        <w:t>d</w:t>
      </w:r>
      <w:r w:rsidR="006C0DE4" w:rsidRPr="004A229F">
        <w:rPr>
          <w:rFonts w:cs="Arial"/>
          <w:spacing w:val="1"/>
        </w:rPr>
        <w:t>o</w:t>
      </w:r>
      <w:r w:rsidR="006C0DE4" w:rsidRPr="004A229F">
        <w:rPr>
          <w:rFonts w:cs="Arial"/>
          <w:spacing w:val="-1"/>
        </w:rPr>
        <w:t>n</w:t>
      </w:r>
      <w:r w:rsidR="006C0DE4" w:rsidRPr="004A229F">
        <w:rPr>
          <w:rFonts w:cs="Arial"/>
        </w:rPr>
        <w:t>a</w:t>
      </w:r>
      <w:r w:rsidR="006C0DE4" w:rsidRPr="004A229F">
        <w:rPr>
          <w:rFonts w:cs="Arial"/>
          <w:spacing w:val="-2"/>
        </w:rPr>
        <w:t>t</w:t>
      </w:r>
      <w:r w:rsidR="006C0DE4" w:rsidRPr="004A229F">
        <w:rPr>
          <w:rFonts w:cs="Arial"/>
        </w:rPr>
        <w:t xml:space="preserve">ed </w:t>
      </w:r>
      <w:r w:rsidR="006C0DE4" w:rsidRPr="004A229F">
        <w:rPr>
          <w:rFonts w:cs="Arial"/>
          <w:spacing w:val="1"/>
        </w:rPr>
        <w:t>g</w:t>
      </w:r>
      <w:r w:rsidR="006C0DE4" w:rsidRPr="004A229F">
        <w:rPr>
          <w:rFonts w:cs="Arial"/>
          <w:spacing w:val="-1"/>
        </w:rPr>
        <w:t>o</w:t>
      </w:r>
      <w:r w:rsidR="006C0DE4" w:rsidRPr="004A229F">
        <w:rPr>
          <w:rFonts w:cs="Arial"/>
          <w:spacing w:val="1"/>
        </w:rPr>
        <w:t>o</w:t>
      </w:r>
      <w:r w:rsidR="006C0DE4" w:rsidRPr="004A229F">
        <w:rPr>
          <w:rFonts w:cs="Arial"/>
          <w:spacing w:val="-1"/>
        </w:rPr>
        <w:t>d</w:t>
      </w:r>
      <w:r w:rsidR="006C0DE4" w:rsidRPr="004A229F">
        <w:rPr>
          <w:rFonts w:cs="Arial"/>
        </w:rPr>
        <w:t xml:space="preserve">s, </w:t>
      </w:r>
      <w:r w:rsidR="006C0DE4" w:rsidRPr="004A229F">
        <w:rPr>
          <w:rFonts w:cs="Arial"/>
          <w:spacing w:val="1"/>
        </w:rPr>
        <w:t>vo</w:t>
      </w:r>
      <w:r w:rsidR="006C0DE4" w:rsidRPr="004A229F">
        <w:rPr>
          <w:rFonts w:cs="Arial"/>
        </w:rPr>
        <w:t>l</w:t>
      </w:r>
      <w:r w:rsidR="006C0DE4" w:rsidRPr="004A229F">
        <w:rPr>
          <w:rFonts w:cs="Arial"/>
          <w:spacing w:val="-1"/>
        </w:rPr>
        <w:t>un</w:t>
      </w:r>
      <w:r w:rsidR="006C0DE4" w:rsidRPr="004A229F">
        <w:rPr>
          <w:rFonts w:cs="Arial"/>
          <w:spacing w:val="-2"/>
        </w:rPr>
        <w:t>t</w:t>
      </w:r>
      <w:r w:rsidR="006C0DE4" w:rsidRPr="004A229F">
        <w:rPr>
          <w:rFonts w:cs="Arial"/>
        </w:rPr>
        <w:t>e</w:t>
      </w:r>
      <w:r w:rsidR="006C0DE4" w:rsidRPr="004A229F">
        <w:rPr>
          <w:rFonts w:cs="Arial"/>
          <w:spacing w:val="1"/>
        </w:rPr>
        <w:t>e</w:t>
      </w:r>
      <w:r w:rsidR="006C0DE4" w:rsidRPr="004A229F">
        <w:rPr>
          <w:rFonts w:cs="Arial"/>
        </w:rPr>
        <w:t>rs,</w:t>
      </w:r>
      <w:r w:rsidR="006C0DE4" w:rsidRPr="004A229F">
        <w:rPr>
          <w:rFonts w:cs="Arial"/>
          <w:spacing w:val="-2"/>
        </w:rPr>
        <w:t xml:space="preserve"> </w:t>
      </w:r>
      <w:r w:rsidR="006C0DE4" w:rsidRPr="004A229F">
        <w:rPr>
          <w:rFonts w:cs="Arial"/>
        </w:rPr>
        <w:t>b</w:t>
      </w:r>
      <w:r w:rsidR="006C0DE4" w:rsidRPr="004A229F">
        <w:rPr>
          <w:rFonts w:cs="Arial"/>
          <w:spacing w:val="-1"/>
        </w:rPr>
        <w:t>u</w:t>
      </w:r>
      <w:r w:rsidR="006C0DE4" w:rsidRPr="004A229F">
        <w:rPr>
          <w:rFonts w:cs="Arial"/>
        </w:rPr>
        <w:t>il</w:t>
      </w:r>
      <w:r w:rsidR="006C0DE4" w:rsidRPr="004A229F">
        <w:rPr>
          <w:rFonts w:cs="Arial"/>
          <w:spacing w:val="-1"/>
        </w:rPr>
        <w:t>d</w:t>
      </w:r>
      <w:r w:rsidR="006C0DE4" w:rsidRPr="004A229F">
        <w:rPr>
          <w:rFonts w:cs="Arial"/>
        </w:rPr>
        <w:t>i</w:t>
      </w:r>
      <w:r w:rsidR="006C0DE4" w:rsidRPr="004A229F">
        <w:rPr>
          <w:rFonts w:cs="Arial"/>
          <w:spacing w:val="-1"/>
        </w:rPr>
        <w:t>n</w:t>
      </w:r>
      <w:r w:rsidR="006C0DE4" w:rsidRPr="004A229F">
        <w:rPr>
          <w:rFonts w:cs="Arial"/>
        </w:rPr>
        <w:t>g</w:t>
      </w:r>
      <w:r w:rsidR="006C0DE4" w:rsidRPr="004A229F">
        <w:rPr>
          <w:rFonts w:cs="Arial"/>
          <w:spacing w:val="-1"/>
        </w:rPr>
        <w:t xml:space="preserve"> </w:t>
      </w:r>
      <w:r w:rsidR="006C0DE4" w:rsidRPr="004A229F">
        <w:rPr>
          <w:rFonts w:cs="Arial"/>
          <w:spacing w:val="1"/>
        </w:rPr>
        <w:t>v</w:t>
      </w:r>
      <w:r w:rsidR="006C0DE4" w:rsidRPr="004A229F">
        <w:rPr>
          <w:rFonts w:cs="Arial"/>
        </w:rPr>
        <w:t>al</w:t>
      </w:r>
      <w:r w:rsidR="006C0DE4" w:rsidRPr="004A229F">
        <w:rPr>
          <w:rFonts w:cs="Arial"/>
          <w:spacing w:val="-1"/>
        </w:rPr>
        <w:t>u</w:t>
      </w:r>
      <w:r w:rsidR="006C0DE4" w:rsidRPr="004A229F">
        <w:rPr>
          <w:rFonts w:cs="Arial"/>
        </w:rPr>
        <w:t>e</w:t>
      </w:r>
      <w:r w:rsidR="006C0DE4" w:rsidRPr="004A229F">
        <w:rPr>
          <w:rFonts w:cs="Arial"/>
          <w:spacing w:val="-1"/>
        </w:rPr>
        <w:t xml:space="preserve"> </w:t>
      </w:r>
      <w:r w:rsidR="006C0DE4" w:rsidRPr="004A229F">
        <w:rPr>
          <w:rFonts w:cs="Arial"/>
          <w:spacing w:val="1"/>
        </w:rPr>
        <w:t>o</w:t>
      </w:r>
      <w:r w:rsidR="006C0DE4" w:rsidRPr="004A229F">
        <w:rPr>
          <w:rFonts w:cs="Arial"/>
        </w:rPr>
        <w:t>r le</w:t>
      </w:r>
      <w:r w:rsidR="006C0DE4" w:rsidRPr="004A229F">
        <w:rPr>
          <w:rFonts w:cs="Arial"/>
          <w:spacing w:val="-2"/>
        </w:rPr>
        <w:t>a</w:t>
      </w:r>
      <w:r w:rsidR="006C0DE4" w:rsidRPr="004A229F">
        <w:rPr>
          <w:rFonts w:cs="Arial"/>
        </w:rPr>
        <w:t>s</w:t>
      </w:r>
      <w:r w:rsidR="006C0DE4" w:rsidRPr="004A229F">
        <w:rPr>
          <w:rFonts w:cs="Arial"/>
          <w:spacing w:val="2"/>
        </w:rPr>
        <w:t>e</w:t>
      </w:r>
      <w:r w:rsidR="006C0DE4" w:rsidRPr="004A229F">
        <w:rPr>
          <w:rFonts w:cs="Arial"/>
          <w:b/>
          <w:bCs/>
        </w:rPr>
        <w:t xml:space="preserve">. </w:t>
      </w:r>
      <w:r w:rsidRPr="00C0352B">
        <w:rPr>
          <w:rFonts w:cs="Arial"/>
        </w:rPr>
        <w:t xml:space="preserve">Funds leverage additional local government and private philanthropic investment from foundations. </w:t>
      </w:r>
      <w:r w:rsidR="0050703B" w:rsidRPr="00C0352B">
        <w:rPr>
          <w:rFonts w:cs="Arial"/>
        </w:rPr>
        <w:t xml:space="preserve"> </w:t>
      </w:r>
      <w:r w:rsidR="00161362">
        <w:rPr>
          <w:rFonts w:cs="Arial"/>
        </w:rPr>
        <w:t xml:space="preserve">Additionally, the California ESG funds can be used to match federal funds.  </w:t>
      </w:r>
      <w:r w:rsidRPr="00C0352B">
        <w:rPr>
          <w:rFonts w:cs="Arial"/>
        </w:rPr>
        <w:t>ESG meets its 100</w:t>
      </w:r>
      <w:r w:rsidR="0031344F" w:rsidRPr="00C0352B">
        <w:rPr>
          <w:rFonts w:cs="Arial"/>
        </w:rPr>
        <w:t xml:space="preserve"> </w:t>
      </w:r>
      <w:r w:rsidR="002B026F" w:rsidRPr="00C0352B">
        <w:rPr>
          <w:rFonts w:cs="Arial"/>
        </w:rPr>
        <w:t>percent</w:t>
      </w:r>
      <w:r w:rsidR="002B026F" w:rsidRPr="00CB679B">
        <w:rPr>
          <w:rFonts w:cs="Arial"/>
        </w:rPr>
        <w:t xml:space="preserve"> </w:t>
      </w:r>
      <w:r w:rsidRPr="00CB679B">
        <w:rPr>
          <w:rFonts w:cs="Arial"/>
        </w:rPr>
        <w:t>match requirement by relying on these sources from its funded grantees.</w:t>
      </w:r>
      <w:r w:rsidR="00161362">
        <w:rPr>
          <w:rFonts w:cs="Arial"/>
        </w:rPr>
        <w:t xml:space="preserve">  </w:t>
      </w:r>
    </w:p>
    <w:p w14:paraId="5A6877F7" w14:textId="27BA3567" w:rsidR="00F25652" w:rsidRPr="0031344F" w:rsidRDefault="00F25652" w:rsidP="007721A7">
      <w:pPr>
        <w:widowControl w:val="0"/>
        <w:spacing w:before="100" w:beforeAutospacing="1" w:after="100" w:afterAutospacing="1"/>
        <w:rPr>
          <w:rFonts w:cs="Arial"/>
        </w:rPr>
      </w:pPr>
      <w:r w:rsidRPr="0031344F">
        <w:rPr>
          <w:rFonts w:cs="Arial"/>
          <w:b/>
        </w:rPr>
        <w:t>HOPWA</w:t>
      </w:r>
      <w:r w:rsidR="00662F14">
        <w:rPr>
          <w:rFonts w:cs="Arial"/>
        </w:rPr>
        <w:t>:  </w:t>
      </w:r>
      <w:r w:rsidRPr="0031344F">
        <w:rPr>
          <w:rFonts w:cs="Arial"/>
        </w:rPr>
        <w:t xml:space="preserve">Project sponsors leverage funds from various state, federal, local and private resources, including Ryan White Part B funding, for housing assistance, supportive services and other non-housing support. </w:t>
      </w:r>
      <w:r w:rsidR="002B026F" w:rsidRPr="0031344F">
        <w:rPr>
          <w:rFonts w:cs="Arial"/>
        </w:rPr>
        <w:t xml:space="preserve"> </w:t>
      </w:r>
      <w:r w:rsidRPr="0031344F">
        <w:rPr>
          <w:rFonts w:cs="Arial"/>
        </w:rPr>
        <w:t xml:space="preserve">The HIV Care Program (Ryan White Part B), administered by CDPH/OA, provides HIV care services statewide, including the </w:t>
      </w:r>
      <w:r w:rsidRPr="007721A7">
        <w:rPr>
          <w:rFonts w:cs="Arial"/>
        </w:rPr>
        <w:t xml:space="preserve">43 </w:t>
      </w:r>
      <w:r w:rsidRPr="0031344F">
        <w:rPr>
          <w:rFonts w:cs="Arial"/>
        </w:rPr>
        <w:t xml:space="preserve">HOPWA-eligible counties. </w:t>
      </w:r>
      <w:r w:rsidR="002B026F" w:rsidRPr="0031344F">
        <w:rPr>
          <w:rFonts w:cs="Arial"/>
        </w:rPr>
        <w:t xml:space="preserve"> </w:t>
      </w:r>
      <w:r w:rsidR="00CC0660">
        <w:rPr>
          <w:rFonts w:cs="Arial"/>
        </w:rPr>
        <w:t xml:space="preserve">Twenty-one </w:t>
      </w:r>
      <w:r w:rsidRPr="0031344F">
        <w:rPr>
          <w:rFonts w:cs="Arial"/>
        </w:rPr>
        <w:t xml:space="preserve">project sponsors are also HIV Care Program providers which allow a seamless approach to the delivery of housing and care services. </w:t>
      </w:r>
      <w:r w:rsidR="002B026F" w:rsidRPr="0031344F">
        <w:rPr>
          <w:rFonts w:cs="Arial"/>
        </w:rPr>
        <w:t xml:space="preserve"> </w:t>
      </w:r>
      <w:r w:rsidRPr="0031344F">
        <w:rPr>
          <w:rFonts w:cs="Arial"/>
        </w:rPr>
        <w:t>These services, when used in conjunction with HOPWA services, assist in preventing homelessness and addressing emergency housing needs.</w:t>
      </w:r>
      <w:r w:rsidR="006C0DE4">
        <w:rPr>
          <w:rFonts w:cs="Arial"/>
        </w:rPr>
        <w:t xml:space="preserve">  HOPWA does not have a match requirement.  </w:t>
      </w:r>
    </w:p>
    <w:p w14:paraId="74CF315E" w14:textId="09A1EFAC" w:rsidR="00F25652" w:rsidRPr="0031344F" w:rsidRDefault="00F25652" w:rsidP="00662F14">
      <w:pPr>
        <w:widowControl w:val="0"/>
        <w:spacing w:before="100" w:beforeAutospacing="1" w:after="100" w:afterAutospacing="1"/>
        <w:rPr>
          <w:rFonts w:cs="Arial"/>
        </w:rPr>
      </w:pPr>
      <w:r w:rsidRPr="0031344F">
        <w:rPr>
          <w:rFonts w:cs="Arial"/>
          <w:b/>
        </w:rPr>
        <w:t>LHCP</w:t>
      </w:r>
      <w:r w:rsidRPr="0031344F">
        <w:rPr>
          <w:rFonts w:cs="Arial"/>
        </w:rPr>
        <w:t>:</w:t>
      </w:r>
      <w:r w:rsidR="002B026F" w:rsidRPr="0031344F">
        <w:rPr>
          <w:rFonts w:cs="Arial"/>
        </w:rPr>
        <w:t xml:space="preserve"> </w:t>
      </w:r>
      <w:r w:rsidRPr="0031344F">
        <w:rPr>
          <w:rFonts w:cs="Arial"/>
        </w:rPr>
        <w:t xml:space="preserve"> HUD requires a </w:t>
      </w:r>
      <w:r w:rsidRPr="001D536F">
        <w:rPr>
          <w:rFonts w:cs="Arial"/>
          <w:b/>
        </w:rPr>
        <w:t>10</w:t>
      </w:r>
      <w:r w:rsidR="00662F14" w:rsidRPr="001D536F">
        <w:rPr>
          <w:rFonts w:cs="Arial"/>
          <w:b/>
        </w:rPr>
        <w:t xml:space="preserve"> </w:t>
      </w:r>
      <w:r w:rsidR="002B026F" w:rsidRPr="001D536F">
        <w:rPr>
          <w:rFonts w:cs="Arial"/>
          <w:b/>
        </w:rPr>
        <w:t>percent</w:t>
      </w:r>
      <w:r w:rsidR="002B026F" w:rsidRPr="007721A7">
        <w:rPr>
          <w:rFonts w:cs="Arial"/>
        </w:rPr>
        <w:t xml:space="preserve"> </w:t>
      </w:r>
      <w:r w:rsidRPr="0031344F">
        <w:rPr>
          <w:rFonts w:cs="Arial"/>
        </w:rPr>
        <w:t xml:space="preserve">non-federal match contribution. LHCP’s network of Community-Based Organizations are contracted to meet this requirement. </w:t>
      </w:r>
      <w:r w:rsidR="00592B04" w:rsidRPr="0031344F">
        <w:rPr>
          <w:rFonts w:cs="Arial"/>
        </w:rPr>
        <w:t xml:space="preserve"> </w:t>
      </w:r>
      <w:r w:rsidRPr="0031344F">
        <w:rPr>
          <w:rFonts w:cs="Arial"/>
        </w:rPr>
        <w:t xml:space="preserve">State, local, charitable, non-profit or for-profit entities, private donations, in-kind and owner’s contribution resources are used to meet this requirement. </w:t>
      </w:r>
      <w:r w:rsidR="002B026F" w:rsidRPr="0031344F">
        <w:rPr>
          <w:rFonts w:cs="Arial"/>
        </w:rPr>
        <w:t xml:space="preserve"> </w:t>
      </w:r>
      <w:r w:rsidRPr="0031344F">
        <w:rPr>
          <w:rFonts w:cs="Arial"/>
        </w:rPr>
        <w:t>Sub-grantees also provide federal leveraging funds through various resources such as the Low-Income Home Energy Assist</w:t>
      </w:r>
      <w:r w:rsidR="006C0DE4">
        <w:rPr>
          <w:rFonts w:cs="Arial"/>
        </w:rPr>
        <w:t xml:space="preserve">ance Program, and other sources, </w:t>
      </w:r>
      <w:r w:rsidRPr="0031344F">
        <w:rPr>
          <w:rFonts w:cs="Arial"/>
        </w:rPr>
        <w:t>however, funds from sub-grantees are not counted towards satisfying the non-federal match requirement.</w:t>
      </w:r>
    </w:p>
    <w:p w14:paraId="4BA5DFE7" w14:textId="77777777" w:rsidR="00662F14" w:rsidRPr="00CF5CBE" w:rsidRDefault="001019E2" w:rsidP="00CF5CBE">
      <w:pPr>
        <w:rPr>
          <w:b/>
          <w:color w:val="335375" w:themeColor="accent3" w:themeShade="BF"/>
          <w:u w:val="single"/>
        </w:rPr>
      </w:pPr>
      <w:r w:rsidRPr="00662F14">
        <w:rPr>
          <w:b/>
          <w:u w:val="single"/>
        </w:rPr>
        <w:t xml:space="preserve">Fiscal Year Summary – HOME Match </w:t>
      </w:r>
    </w:p>
    <w:tbl>
      <w:tblPr>
        <w:tblStyle w:val="GridTable4-Accent3"/>
        <w:tblW w:w="5000" w:type="pct"/>
        <w:tblLook w:val="01E0" w:firstRow="1" w:lastRow="1" w:firstColumn="1" w:lastColumn="1" w:noHBand="0" w:noVBand="0"/>
      </w:tblPr>
      <w:tblGrid>
        <w:gridCol w:w="12505"/>
        <w:gridCol w:w="1885"/>
      </w:tblGrid>
      <w:tr w:rsidR="00D961C6" w14:paraId="456F5970" w14:textId="77777777" w:rsidTr="00935B1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390" w:type="dxa"/>
            <w:gridSpan w:val="2"/>
          </w:tcPr>
          <w:p w14:paraId="358B8B64" w14:textId="77777777" w:rsidR="00D961C6" w:rsidRPr="00087BA0" w:rsidRDefault="00D961C6" w:rsidP="00757E30">
            <w:pPr>
              <w:keepNext/>
              <w:widowControl w:val="0"/>
              <w:jc w:val="center"/>
              <w:rPr>
                <w:rFonts w:cs="Arial"/>
              </w:rPr>
            </w:pPr>
            <w:r w:rsidRPr="00087BA0">
              <w:t>Fiscal Year Summary – HOME Match</w:t>
            </w:r>
          </w:p>
        </w:tc>
      </w:tr>
      <w:tr w:rsidR="00D961C6" w14:paraId="1E525900" w14:textId="77777777" w:rsidTr="00935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5" w:type="dxa"/>
          </w:tcPr>
          <w:p w14:paraId="5BC6FCEC" w14:textId="77777777" w:rsidR="00D961C6" w:rsidRPr="00936F6D" w:rsidRDefault="00D961C6" w:rsidP="00936F6D">
            <w:pPr>
              <w:spacing w:before="100" w:beforeAutospacing="1" w:after="100" w:afterAutospacing="1"/>
              <w:rPr>
                <w:b w:val="0"/>
              </w:rPr>
            </w:pPr>
            <w:r w:rsidRPr="00936F6D">
              <w:rPr>
                <w:b w:val="0"/>
                <w:color w:val="000000"/>
              </w:rPr>
              <w:t>1. Excess match from prior Federal fiscal year</w:t>
            </w:r>
          </w:p>
        </w:tc>
        <w:tc>
          <w:tcPr>
            <w:cnfStyle w:val="000100000000" w:firstRow="0" w:lastRow="0" w:firstColumn="0" w:lastColumn="1" w:oddVBand="0" w:evenVBand="0" w:oddHBand="0" w:evenHBand="0" w:firstRowFirstColumn="0" w:firstRowLastColumn="0" w:lastRowFirstColumn="0" w:lastRowLastColumn="0"/>
            <w:tcW w:w="1885" w:type="dxa"/>
            <w:vAlign w:val="center"/>
          </w:tcPr>
          <w:p w14:paraId="7BE1BE66" w14:textId="77777777" w:rsidR="00D961C6" w:rsidRPr="00935B13" w:rsidRDefault="00C8768B" w:rsidP="00935B13">
            <w:pPr>
              <w:spacing w:before="100" w:beforeAutospacing="1" w:after="100" w:afterAutospacing="1"/>
              <w:jc w:val="right"/>
              <w:rPr>
                <w:b w:val="0"/>
              </w:rPr>
            </w:pPr>
            <w:r>
              <w:rPr>
                <w:b w:val="0"/>
              </w:rPr>
              <w:t>263,087,801</w:t>
            </w:r>
          </w:p>
        </w:tc>
      </w:tr>
      <w:tr w:rsidR="00D961C6" w14:paraId="42217C24" w14:textId="77777777" w:rsidTr="00935B13">
        <w:tc>
          <w:tcPr>
            <w:cnfStyle w:val="001000000000" w:firstRow="0" w:lastRow="0" w:firstColumn="1" w:lastColumn="0" w:oddVBand="0" w:evenVBand="0" w:oddHBand="0" w:evenHBand="0" w:firstRowFirstColumn="0" w:firstRowLastColumn="0" w:lastRowFirstColumn="0" w:lastRowLastColumn="0"/>
            <w:tcW w:w="12505" w:type="dxa"/>
          </w:tcPr>
          <w:p w14:paraId="582D17E9" w14:textId="77777777" w:rsidR="00D961C6" w:rsidRPr="00936F6D" w:rsidRDefault="00D961C6" w:rsidP="00662F14">
            <w:pPr>
              <w:spacing w:before="100" w:beforeAutospacing="1" w:after="100" w:afterAutospacing="1"/>
              <w:rPr>
                <w:b w:val="0"/>
              </w:rPr>
            </w:pPr>
            <w:r w:rsidRPr="00936F6D">
              <w:rPr>
                <w:b w:val="0"/>
                <w:color w:val="000000"/>
              </w:rPr>
              <w:t>2. Match contributed during current Federal fiscal year</w:t>
            </w:r>
          </w:p>
        </w:tc>
        <w:tc>
          <w:tcPr>
            <w:cnfStyle w:val="000100000000" w:firstRow="0" w:lastRow="0" w:firstColumn="0" w:lastColumn="1" w:oddVBand="0" w:evenVBand="0" w:oddHBand="0" w:evenHBand="0" w:firstRowFirstColumn="0" w:firstRowLastColumn="0" w:lastRowFirstColumn="0" w:lastRowLastColumn="0"/>
            <w:tcW w:w="1885" w:type="dxa"/>
            <w:vAlign w:val="center"/>
          </w:tcPr>
          <w:p w14:paraId="54FB275A" w14:textId="77777777" w:rsidR="00D961C6" w:rsidRPr="00935B13" w:rsidRDefault="00C8768B" w:rsidP="00935B13">
            <w:pPr>
              <w:spacing w:before="100" w:beforeAutospacing="1" w:after="100" w:afterAutospacing="1"/>
              <w:jc w:val="right"/>
              <w:rPr>
                <w:b w:val="0"/>
              </w:rPr>
            </w:pPr>
            <w:r>
              <w:rPr>
                <w:b w:val="0"/>
              </w:rPr>
              <w:t>10,967,852</w:t>
            </w:r>
          </w:p>
        </w:tc>
      </w:tr>
      <w:tr w:rsidR="00D961C6" w14:paraId="107C3CAE" w14:textId="77777777" w:rsidTr="00935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5" w:type="dxa"/>
          </w:tcPr>
          <w:p w14:paraId="19A43FC1" w14:textId="77777777" w:rsidR="00D961C6" w:rsidRPr="00936F6D" w:rsidRDefault="00D961C6" w:rsidP="00936F6D">
            <w:pPr>
              <w:spacing w:before="100" w:beforeAutospacing="1" w:after="100" w:afterAutospacing="1"/>
              <w:rPr>
                <w:b w:val="0"/>
              </w:rPr>
            </w:pPr>
            <w:r w:rsidRPr="00936F6D">
              <w:rPr>
                <w:b w:val="0"/>
                <w:color w:val="000000"/>
              </w:rPr>
              <w:t>3. Total match available for current Federal fiscal year (Line 1 plus Line 2)</w:t>
            </w:r>
          </w:p>
        </w:tc>
        <w:tc>
          <w:tcPr>
            <w:cnfStyle w:val="000100000000" w:firstRow="0" w:lastRow="0" w:firstColumn="0" w:lastColumn="1" w:oddVBand="0" w:evenVBand="0" w:oddHBand="0" w:evenHBand="0" w:firstRowFirstColumn="0" w:firstRowLastColumn="0" w:lastRowFirstColumn="0" w:lastRowLastColumn="0"/>
            <w:tcW w:w="1885" w:type="dxa"/>
            <w:vAlign w:val="center"/>
          </w:tcPr>
          <w:p w14:paraId="4D2E9E50" w14:textId="77777777" w:rsidR="00D961C6" w:rsidRPr="00935B13" w:rsidRDefault="00C8768B" w:rsidP="00935B13">
            <w:pPr>
              <w:spacing w:beforeAutospacing="1" w:afterAutospacing="1"/>
              <w:jc w:val="right"/>
              <w:rPr>
                <w:b w:val="0"/>
              </w:rPr>
            </w:pPr>
            <w:r>
              <w:rPr>
                <w:b w:val="0"/>
              </w:rPr>
              <w:t>274,055,653</w:t>
            </w:r>
          </w:p>
        </w:tc>
      </w:tr>
      <w:tr w:rsidR="00D961C6" w14:paraId="34AEF381" w14:textId="77777777" w:rsidTr="00935B13">
        <w:tc>
          <w:tcPr>
            <w:cnfStyle w:val="001000000000" w:firstRow="0" w:lastRow="0" w:firstColumn="1" w:lastColumn="0" w:oddVBand="0" w:evenVBand="0" w:oddHBand="0" w:evenHBand="0" w:firstRowFirstColumn="0" w:firstRowLastColumn="0" w:lastRowFirstColumn="0" w:lastRowLastColumn="0"/>
            <w:tcW w:w="12505" w:type="dxa"/>
          </w:tcPr>
          <w:p w14:paraId="09309BFB" w14:textId="77777777" w:rsidR="00D961C6" w:rsidRPr="00936F6D" w:rsidRDefault="00D961C6" w:rsidP="00936F6D">
            <w:pPr>
              <w:spacing w:before="100" w:beforeAutospacing="1" w:after="100" w:afterAutospacing="1"/>
              <w:rPr>
                <w:b w:val="0"/>
              </w:rPr>
            </w:pPr>
            <w:r w:rsidRPr="00936F6D">
              <w:rPr>
                <w:b w:val="0"/>
                <w:color w:val="000000"/>
              </w:rPr>
              <w:t>4. Match liability for current Federal fiscal year</w:t>
            </w:r>
          </w:p>
        </w:tc>
        <w:tc>
          <w:tcPr>
            <w:cnfStyle w:val="000100000000" w:firstRow="0" w:lastRow="0" w:firstColumn="0" w:lastColumn="1" w:oddVBand="0" w:evenVBand="0" w:oddHBand="0" w:evenHBand="0" w:firstRowFirstColumn="0" w:firstRowLastColumn="0" w:lastRowFirstColumn="0" w:lastRowLastColumn="0"/>
            <w:tcW w:w="1885" w:type="dxa"/>
            <w:vAlign w:val="center"/>
          </w:tcPr>
          <w:p w14:paraId="28DCAB93" w14:textId="77777777" w:rsidR="00D961C6" w:rsidRPr="00935B13" w:rsidRDefault="00C8768B" w:rsidP="00935B13">
            <w:pPr>
              <w:spacing w:before="100" w:beforeAutospacing="1" w:after="100" w:afterAutospacing="1"/>
              <w:jc w:val="right"/>
              <w:rPr>
                <w:b w:val="0"/>
              </w:rPr>
            </w:pPr>
            <w:r>
              <w:rPr>
                <w:b w:val="0"/>
              </w:rPr>
              <w:t>2,433,814</w:t>
            </w:r>
          </w:p>
        </w:tc>
      </w:tr>
      <w:tr w:rsidR="00D961C6" w14:paraId="00356A58" w14:textId="77777777" w:rsidTr="00935B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5" w:type="dxa"/>
          </w:tcPr>
          <w:p w14:paraId="36C0722E" w14:textId="77777777" w:rsidR="00D961C6" w:rsidRPr="00936F6D" w:rsidRDefault="00D961C6" w:rsidP="00936F6D">
            <w:pPr>
              <w:spacing w:before="100" w:beforeAutospacing="1" w:after="100" w:afterAutospacing="1"/>
              <w:rPr>
                <w:b w:val="0"/>
              </w:rPr>
            </w:pPr>
            <w:r w:rsidRPr="00936F6D">
              <w:rPr>
                <w:b w:val="0"/>
                <w:color w:val="000000"/>
              </w:rPr>
              <w:t>5. Excess match carried over to next Federal fiscal year (Line 3 minus Line 4)</w:t>
            </w:r>
          </w:p>
        </w:tc>
        <w:tc>
          <w:tcPr>
            <w:cnfStyle w:val="000100000000" w:firstRow="0" w:lastRow="0" w:firstColumn="0" w:lastColumn="1" w:oddVBand="0" w:evenVBand="0" w:oddHBand="0" w:evenHBand="0" w:firstRowFirstColumn="0" w:firstRowLastColumn="0" w:lastRowFirstColumn="0" w:lastRowLastColumn="0"/>
            <w:tcW w:w="1885" w:type="dxa"/>
            <w:vAlign w:val="center"/>
          </w:tcPr>
          <w:p w14:paraId="0FE93225" w14:textId="77777777" w:rsidR="00D961C6" w:rsidRPr="00935B13" w:rsidRDefault="00C8768B" w:rsidP="00935B13">
            <w:pPr>
              <w:spacing w:beforeAutospacing="1" w:afterAutospacing="1"/>
              <w:jc w:val="right"/>
              <w:rPr>
                <w:b w:val="0"/>
              </w:rPr>
            </w:pPr>
            <w:r>
              <w:rPr>
                <w:b w:val="0"/>
              </w:rPr>
              <w:t>271,621,839</w:t>
            </w:r>
          </w:p>
        </w:tc>
      </w:tr>
    </w:tbl>
    <w:p w14:paraId="641D66CF" w14:textId="4F115100" w:rsidR="00662F14" w:rsidRPr="003B09E9" w:rsidRDefault="00D961C6" w:rsidP="003B09E9">
      <w:pPr>
        <w:pStyle w:val="Caption"/>
        <w:jc w:val="center"/>
        <w:rPr>
          <w:rFonts w:ascii="Arial" w:hAnsi="Arial" w:cs="Arial"/>
          <w:sz w:val="16"/>
        </w:rPr>
      </w:pPr>
      <w:r w:rsidRPr="00087BA0">
        <w:rPr>
          <w:rFonts w:ascii="Arial" w:hAnsi="Arial" w:cs="Arial"/>
          <w:sz w:val="16"/>
        </w:rPr>
        <w:t xml:space="preserve">Table </w:t>
      </w:r>
      <w:r w:rsidRPr="00087BA0">
        <w:rPr>
          <w:rFonts w:ascii="Arial" w:hAnsi="Arial" w:cs="Arial"/>
          <w:sz w:val="16"/>
        </w:rPr>
        <w:fldChar w:fldCharType="begin"/>
      </w:r>
      <w:r w:rsidRPr="00087BA0">
        <w:rPr>
          <w:rFonts w:ascii="Arial" w:hAnsi="Arial" w:cs="Arial"/>
          <w:sz w:val="16"/>
        </w:rPr>
        <w:instrText xml:space="preserve"> SEQ Table \* ARABIC </w:instrText>
      </w:r>
      <w:r w:rsidRPr="00087BA0">
        <w:rPr>
          <w:rFonts w:ascii="Arial" w:hAnsi="Arial" w:cs="Arial"/>
          <w:sz w:val="16"/>
        </w:rPr>
        <w:fldChar w:fldCharType="separate"/>
      </w:r>
      <w:r w:rsidR="00AA534C">
        <w:rPr>
          <w:rFonts w:ascii="Arial" w:hAnsi="Arial" w:cs="Arial"/>
          <w:noProof/>
          <w:sz w:val="16"/>
        </w:rPr>
        <w:t>4</w:t>
      </w:r>
      <w:r w:rsidRPr="00087BA0">
        <w:rPr>
          <w:rFonts w:ascii="Arial" w:hAnsi="Arial" w:cs="Arial"/>
          <w:sz w:val="16"/>
        </w:rPr>
        <w:fldChar w:fldCharType="end"/>
      </w:r>
      <w:r w:rsidRPr="00087BA0">
        <w:rPr>
          <w:rFonts w:ascii="Arial" w:hAnsi="Arial" w:cs="Arial"/>
          <w:sz w:val="16"/>
        </w:rPr>
        <w:t xml:space="preserve"> – Fiscal Year Summary - HOME Match Report</w:t>
      </w:r>
    </w:p>
    <w:tbl>
      <w:tblPr>
        <w:tblStyle w:val="GridTable4-Accent3"/>
        <w:tblpPr w:leftFromText="180" w:rightFromText="180" w:vertAnchor="text" w:horzAnchor="margin" w:tblpY="194"/>
        <w:tblW w:w="5091" w:type="pct"/>
        <w:tblLayout w:type="fixed"/>
        <w:tblLook w:val="01E0" w:firstRow="1" w:lastRow="1" w:firstColumn="1" w:lastColumn="1" w:noHBand="0" w:noVBand="0"/>
      </w:tblPr>
      <w:tblGrid>
        <w:gridCol w:w="1600"/>
        <w:gridCol w:w="1599"/>
        <w:gridCol w:w="1599"/>
        <w:gridCol w:w="1598"/>
        <w:gridCol w:w="1599"/>
        <w:gridCol w:w="1849"/>
        <w:gridCol w:w="1599"/>
        <w:gridCol w:w="1599"/>
        <w:gridCol w:w="1599"/>
        <w:gridCol w:w="11"/>
      </w:tblGrid>
      <w:tr w:rsidR="00CF5CBE" w:rsidRPr="00087BA0" w14:paraId="666D0AF3" w14:textId="77777777" w:rsidTr="00CF5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2" w:type="dxa"/>
            <w:gridSpan w:val="10"/>
          </w:tcPr>
          <w:p w14:paraId="56FDECAA" w14:textId="77777777" w:rsidR="00CF5CBE" w:rsidRPr="00087BA0" w:rsidRDefault="00CF5CBE" w:rsidP="00CF5CBE">
            <w:pPr>
              <w:spacing w:after="160" w:line="259" w:lineRule="auto"/>
              <w:jc w:val="center"/>
            </w:pPr>
            <w:r w:rsidRPr="00087BA0">
              <w:lastRenderedPageBreak/>
              <w:t>Match Contribution for the Federal Fiscal Year</w:t>
            </w:r>
          </w:p>
        </w:tc>
      </w:tr>
      <w:tr w:rsidR="00CF5CBE" w:rsidRPr="00087BA0" w14:paraId="329F2B3E" w14:textId="77777777" w:rsidTr="00CF5CBE">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1600" w:type="dxa"/>
            <w:vAlign w:val="center"/>
          </w:tcPr>
          <w:p w14:paraId="0049FA47" w14:textId="77777777" w:rsidR="00CF5CBE" w:rsidRPr="00662F14" w:rsidRDefault="00CF5CBE" w:rsidP="00CF5CBE">
            <w:pPr>
              <w:spacing w:after="160" w:line="259" w:lineRule="auto"/>
              <w:jc w:val="center"/>
              <w:rPr>
                <w:b w:val="0"/>
                <w:sz w:val="22"/>
              </w:rPr>
            </w:pPr>
            <w:r w:rsidRPr="00662F14">
              <w:rPr>
                <w:b w:val="0"/>
                <w:sz w:val="22"/>
              </w:rPr>
              <w:t>Project No. or Other ID</w:t>
            </w:r>
          </w:p>
        </w:tc>
        <w:tc>
          <w:tcPr>
            <w:cnfStyle w:val="000010000000" w:firstRow="0" w:lastRow="0" w:firstColumn="0" w:lastColumn="0" w:oddVBand="1" w:evenVBand="0" w:oddHBand="0" w:evenHBand="0" w:firstRowFirstColumn="0" w:firstRowLastColumn="0" w:lastRowFirstColumn="0" w:lastRowLastColumn="0"/>
            <w:tcW w:w="1599" w:type="dxa"/>
            <w:vAlign w:val="center"/>
          </w:tcPr>
          <w:p w14:paraId="31131BC8" w14:textId="77777777" w:rsidR="00CF5CBE" w:rsidRPr="00662F14" w:rsidRDefault="00CF5CBE" w:rsidP="00CF5CBE">
            <w:pPr>
              <w:spacing w:after="160" w:line="259" w:lineRule="auto"/>
              <w:jc w:val="center"/>
              <w:rPr>
                <w:sz w:val="22"/>
              </w:rPr>
            </w:pPr>
            <w:r w:rsidRPr="00662F14">
              <w:rPr>
                <w:sz w:val="22"/>
              </w:rPr>
              <w:t>Date of Contribution</w:t>
            </w:r>
          </w:p>
        </w:tc>
        <w:tc>
          <w:tcPr>
            <w:tcW w:w="1599" w:type="dxa"/>
            <w:vAlign w:val="center"/>
          </w:tcPr>
          <w:p w14:paraId="451DA505" w14:textId="77777777" w:rsidR="00CF5CBE" w:rsidRPr="00662F14" w:rsidRDefault="00CF5CBE" w:rsidP="00CF5CBE">
            <w:pPr>
              <w:spacing w:line="259" w:lineRule="auto"/>
              <w:jc w:val="center"/>
              <w:cnfStyle w:val="000000100000" w:firstRow="0" w:lastRow="0" w:firstColumn="0" w:lastColumn="0" w:oddVBand="0" w:evenVBand="0" w:oddHBand="1" w:evenHBand="0" w:firstRowFirstColumn="0" w:firstRowLastColumn="0" w:lastRowFirstColumn="0" w:lastRowLastColumn="0"/>
              <w:rPr>
                <w:sz w:val="22"/>
              </w:rPr>
            </w:pPr>
            <w:r w:rsidRPr="00662F14">
              <w:rPr>
                <w:sz w:val="22"/>
              </w:rPr>
              <w:t>Cash</w:t>
            </w:r>
          </w:p>
          <w:p w14:paraId="1D507F1E" w14:textId="77777777" w:rsidR="00CF5CBE" w:rsidRPr="00662F14" w:rsidRDefault="00CF5CBE" w:rsidP="00CF5CBE">
            <w:pPr>
              <w:spacing w:line="259" w:lineRule="auto"/>
              <w:jc w:val="center"/>
              <w:cnfStyle w:val="000000100000" w:firstRow="0" w:lastRow="0" w:firstColumn="0" w:lastColumn="0" w:oddVBand="0" w:evenVBand="0" w:oddHBand="1" w:evenHBand="0" w:firstRowFirstColumn="0" w:firstRowLastColumn="0" w:lastRowFirstColumn="0" w:lastRowLastColumn="0"/>
              <w:rPr>
                <w:sz w:val="22"/>
              </w:rPr>
            </w:pPr>
            <w:r w:rsidRPr="00662F14">
              <w:rPr>
                <w:sz w:val="22"/>
              </w:rPr>
              <w:t>(non-Federal sources)</w:t>
            </w:r>
          </w:p>
        </w:tc>
        <w:tc>
          <w:tcPr>
            <w:cnfStyle w:val="000010000000" w:firstRow="0" w:lastRow="0" w:firstColumn="0" w:lastColumn="0" w:oddVBand="1" w:evenVBand="0" w:oddHBand="0" w:evenHBand="0" w:firstRowFirstColumn="0" w:firstRowLastColumn="0" w:lastRowFirstColumn="0" w:lastRowLastColumn="0"/>
            <w:tcW w:w="1598" w:type="dxa"/>
            <w:vAlign w:val="center"/>
          </w:tcPr>
          <w:p w14:paraId="3429749F" w14:textId="77777777" w:rsidR="00CF5CBE" w:rsidRPr="00662F14" w:rsidRDefault="00CF5CBE" w:rsidP="00CF5CBE">
            <w:pPr>
              <w:spacing w:after="160" w:line="259" w:lineRule="auto"/>
              <w:jc w:val="center"/>
              <w:rPr>
                <w:sz w:val="22"/>
              </w:rPr>
            </w:pPr>
            <w:r w:rsidRPr="00662F14">
              <w:rPr>
                <w:sz w:val="22"/>
              </w:rPr>
              <w:t>Foregone Taxes, Fees, Charges</w:t>
            </w:r>
          </w:p>
        </w:tc>
        <w:tc>
          <w:tcPr>
            <w:tcW w:w="1599" w:type="dxa"/>
            <w:vAlign w:val="center"/>
          </w:tcPr>
          <w:p w14:paraId="356BBF9E" w14:textId="77777777" w:rsidR="00CF5CBE" w:rsidRPr="00662F14" w:rsidRDefault="00CF5CBE" w:rsidP="00CF5CBE">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2"/>
              </w:rPr>
            </w:pPr>
            <w:r w:rsidRPr="00662F14">
              <w:rPr>
                <w:sz w:val="22"/>
              </w:rPr>
              <w:t>Appraised Land/Real Property</w:t>
            </w:r>
          </w:p>
        </w:tc>
        <w:tc>
          <w:tcPr>
            <w:cnfStyle w:val="000010000000" w:firstRow="0" w:lastRow="0" w:firstColumn="0" w:lastColumn="0" w:oddVBand="1" w:evenVBand="0" w:oddHBand="0" w:evenHBand="0" w:firstRowFirstColumn="0" w:firstRowLastColumn="0" w:lastRowFirstColumn="0" w:lastRowLastColumn="0"/>
            <w:tcW w:w="1849" w:type="dxa"/>
            <w:vAlign w:val="center"/>
          </w:tcPr>
          <w:p w14:paraId="01A2F1A9" w14:textId="77777777" w:rsidR="00CF5CBE" w:rsidRPr="00662F14" w:rsidRDefault="00CF5CBE" w:rsidP="00CF5CBE">
            <w:pPr>
              <w:spacing w:after="160" w:line="259" w:lineRule="auto"/>
              <w:jc w:val="center"/>
              <w:rPr>
                <w:sz w:val="22"/>
              </w:rPr>
            </w:pPr>
            <w:r w:rsidRPr="00662F14">
              <w:rPr>
                <w:sz w:val="22"/>
              </w:rPr>
              <w:t>Required Infrastructure</w:t>
            </w:r>
          </w:p>
        </w:tc>
        <w:tc>
          <w:tcPr>
            <w:tcW w:w="1599" w:type="dxa"/>
            <w:vAlign w:val="center"/>
          </w:tcPr>
          <w:p w14:paraId="631D8B07" w14:textId="77777777" w:rsidR="00CF5CBE" w:rsidRPr="00662F14" w:rsidRDefault="00CF5CBE" w:rsidP="00CF5CBE">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2"/>
              </w:rPr>
            </w:pPr>
            <w:r w:rsidRPr="00662F14">
              <w:rPr>
                <w:sz w:val="22"/>
              </w:rPr>
              <w:t>Site Preparation, Construction Materials, Donated labor</w:t>
            </w:r>
          </w:p>
        </w:tc>
        <w:tc>
          <w:tcPr>
            <w:cnfStyle w:val="000010000000" w:firstRow="0" w:lastRow="0" w:firstColumn="0" w:lastColumn="0" w:oddVBand="1" w:evenVBand="0" w:oddHBand="0" w:evenHBand="0" w:firstRowFirstColumn="0" w:firstRowLastColumn="0" w:lastRowFirstColumn="0" w:lastRowLastColumn="0"/>
            <w:tcW w:w="1599" w:type="dxa"/>
            <w:vAlign w:val="center"/>
          </w:tcPr>
          <w:p w14:paraId="7F6B72F1" w14:textId="77777777" w:rsidR="00CF5CBE" w:rsidRPr="00662F14" w:rsidRDefault="00CF5CBE" w:rsidP="00CF5CBE">
            <w:pPr>
              <w:spacing w:after="160" w:line="259" w:lineRule="auto"/>
              <w:jc w:val="center"/>
              <w:rPr>
                <w:sz w:val="22"/>
              </w:rPr>
            </w:pPr>
            <w:r w:rsidRPr="00662F14">
              <w:rPr>
                <w:sz w:val="22"/>
              </w:rPr>
              <w:t>Bond Financing</w:t>
            </w:r>
          </w:p>
        </w:tc>
        <w:tc>
          <w:tcPr>
            <w:cnfStyle w:val="000100000000" w:firstRow="0" w:lastRow="0" w:firstColumn="0" w:lastColumn="1" w:oddVBand="0" w:evenVBand="0" w:oddHBand="0" w:evenHBand="0" w:firstRowFirstColumn="0" w:firstRowLastColumn="0" w:lastRowFirstColumn="0" w:lastRowLastColumn="0"/>
            <w:tcW w:w="1599" w:type="dxa"/>
            <w:vAlign w:val="center"/>
          </w:tcPr>
          <w:p w14:paraId="58258654" w14:textId="77777777" w:rsidR="00CF5CBE" w:rsidRPr="00087BA0" w:rsidRDefault="00CF5CBE" w:rsidP="00CF5CBE">
            <w:pPr>
              <w:spacing w:after="160" w:line="259" w:lineRule="auto"/>
              <w:jc w:val="center"/>
              <w:rPr>
                <w:sz w:val="22"/>
              </w:rPr>
            </w:pPr>
            <w:r w:rsidRPr="00087BA0">
              <w:rPr>
                <w:sz w:val="22"/>
              </w:rPr>
              <w:t>Total Match</w:t>
            </w:r>
          </w:p>
        </w:tc>
      </w:tr>
      <w:tr w:rsidR="00CF5CBE" w:rsidRPr="00087BA0" w14:paraId="23CCEB29" w14:textId="77777777" w:rsidTr="00CF5CBE">
        <w:trPr>
          <w:gridAfter w:val="1"/>
          <w:cnfStyle w:val="010000000000" w:firstRow="0" w:lastRow="1" w:firstColumn="0" w:lastColumn="0" w:oddVBand="0" w:evenVBand="0" w:oddHBand="0"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1600" w:type="dxa"/>
          </w:tcPr>
          <w:p w14:paraId="1F4AC47D" w14:textId="77777777" w:rsidR="00CF5CBE" w:rsidRPr="00087BA0" w:rsidRDefault="00CF5CBE" w:rsidP="00CF5CBE">
            <w:pPr>
              <w:spacing w:after="160" w:line="259" w:lineRule="auto"/>
            </w:pPr>
            <w:r w:rsidRPr="00087BA0">
              <w:t>Total Projects</w:t>
            </w:r>
          </w:p>
        </w:tc>
        <w:tc>
          <w:tcPr>
            <w:cnfStyle w:val="000010000000" w:firstRow="0" w:lastRow="0" w:firstColumn="0" w:lastColumn="0" w:oddVBand="1" w:evenVBand="0" w:oddHBand="0" w:evenHBand="0" w:firstRowFirstColumn="0" w:firstRowLastColumn="0" w:lastRowFirstColumn="0" w:lastRowLastColumn="0"/>
            <w:tcW w:w="1599" w:type="dxa"/>
          </w:tcPr>
          <w:p w14:paraId="1260B685" w14:textId="77777777" w:rsidR="00CF5CBE" w:rsidRPr="00935B13" w:rsidRDefault="00CF5CBE" w:rsidP="00CF5CBE">
            <w:pPr>
              <w:jc w:val="right"/>
              <w:rPr>
                <w:b w:val="0"/>
              </w:rPr>
            </w:pPr>
            <w:r>
              <w:rPr>
                <w:b w:val="0"/>
              </w:rPr>
              <w:t>6/30/16</w:t>
            </w:r>
          </w:p>
        </w:tc>
        <w:tc>
          <w:tcPr>
            <w:tcW w:w="1599" w:type="dxa"/>
          </w:tcPr>
          <w:p w14:paraId="2346CE41" w14:textId="77777777" w:rsidR="00CF5CBE" w:rsidRPr="00935B13" w:rsidRDefault="00CF5CBE" w:rsidP="00CF5CBE">
            <w:pPr>
              <w:jc w:val="right"/>
              <w:cnfStyle w:val="010000000000" w:firstRow="0" w:lastRow="1" w:firstColumn="0" w:lastColumn="0" w:oddVBand="0" w:evenVBand="0" w:oddHBand="0" w:evenHBand="0" w:firstRowFirstColumn="0" w:firstRowLastColumn="0" w:lastRowFirstColumn="0" w:lastRowLastColumn="0"/>
              <w:rPr>
                <w:b w:val="0"/>
              </w:rPr>
            </w:pPr>
            <w:r>
              <w:rPr>
                <w:b w:val="0"/>
              </w:rPr>
              <w:t>6,867,868</w:t>
            </w:r>
          </w:p>
        </w:tc>
        <w:tc>
          <w:tcPr>
            <w:cnfStyle w:val="000010000000" w:firstRow="0" w:lastRow="0" w:firstColumn="0" w:lastColumn="0" w:oddVBand="1" w:evenVBand="0" w:oddHBand="0" w:evenHBand="0" w:firstRowFirstColumn="0" w:firstRowLastColumn="0" w:lastRowFirstColumn="0" w:lastRowLastColumn="0"/>
            <w:tcW w:w="1598" w:type="dxa"/>
          </w:tcPr>
          <w:p w14:paraId="6E636775" w14:textId="77777777" w:rsidR="00CF5CBE" w:rsidRPr="00935B13" w:rsidRDefault="00CF5CBE" w:rsidP="00CF5CBE">
            <w:pPr>
              <w:spacing w:after="160" w:line="259" w:lineRule="auto"/>
              <w:jc w:val="right"/>
              <w:rPr>
                <w:b w:val="0"/>
              </w:rPr>
            </w:pPr>
            <w:r>
              <w:rPr>
                <w:b w:val="0"/>
              </w:rPr>
              <w:t>57,000</w:t>
            </w:r>
          </w:p>
        </w:tc>
        <w:tc>
          <w:tcPr>
            <w:tcW w:w="1599" w:type="dxa"/>
          </w:tcPr>
          <w:p w14:paraId="7684D728" w14:textId="77777777" w:rsidR="00CF5CBE" w:rsidRPr="00935B13" w:rsidRDefault="00CF5CBE" w:rsidP="00CF5CBE">
            <w:pPr>
              <w:spacing w:after="160" w:line="259" w:lineRule="auto"/>
              <w:jc w:val="right"/>
              <w:cnfStyle w:val="010000000000" w:firstRow="0" w:lastRow="1" w:firstColumn="0" w:lastColumn="0" w:oddVBand="0" w:evenVBand="0" w:oddHBand="0" w:evenHBand="0" w:firstRowFirstColumn="0" w:firstRowLastColumn="0" w:lastRowFirstColumn="0" w:lastRowLastColumn="0"/>
              <w:rPr>
                <w:b w:val="0"/>
              </w:rPr>
            </w:pPr>
            <w:r>
              <w:rPr>
                <w:b w:val="0"/>
              </w:rPr>
              <w:t>545,349</w:t>
            </w:r>
          </w:p>
        </w:tc>
        <w:tc>
          <w:tcPr>
            <w:cnfStyle w:val="000010000000" w:firstRow="0" w:lastRow="0" w:firstColumn="0" w:lastColumn="0" w:oddVBand="1" w:evenVBand="0" w:oddHBand="0" w:evenHBand="0" w:firstRowFirstColumn="0" w:firstRowLastColumn="0" w:lastRowFirstColumn="0" w:lastRowLastColumn="0"/>
            <w:tcW w:w="1849" w:type="dxa"/>
          </w:tcPr>
          <w:p w14:paraId="613F09D9" w14:textId="77777777" w:rsidR="00CF5CBE" w:rsidRPr="00935B13" w:rsidRDefault="00CF5CBE" w:rsidP="00CF5CBE">
            <w:pPr>
              <w:spacing w:after="160" w:line="259" w:lineRule="auto"/>
              <w:jc w:val="right"/>
              <w:rPr>
                <w:b w:val="0"/>
              </w:rPr>
            </w:pPr>
            <w:r>
              <w:rPr>
                <w:b w:val="0"/>
              </w:rPr>
              <w:t>0</w:t>
            </w:r>
          </w:p>
        </w:tc>
        <w:tc>
          <w:tcPr>
            <w:tcW w:w="1599" w:type="dxa"/>
          </w:tcPr>
          <w:p w14:paraId="4A69AE76" w14:textId="77777777" w:rsidR="00CF5CBE" w:rsidRPr="00935B13" w:rsidRDefault="00CF5CBE" w:rsidP="00CF5CBE">
            <w:pPr>
              <w:jc w:val="right"/>
              <w:cnfStyle w:val="010000000000" w:firstRow="0" w:lastRow="1" w:firstColumn="0" w:lastColumn="0" w:oddVBand="0" w:evenVBand="0" w:oddHBand="0" w:evenHBand="0" w:firstRowFirstColumn="0" w:firstRowLastColumn="0" w:lastRowFirstColumn="0" w:lastRowLastColumn="0"/>
              <w:rPr>
                <w:b w:val="0"/>
              </w:rPr>
            </w:pPr>
            <w:r>
              <w:rPr>
                <w:b w:val="0"/>
              </w:rPr>
              <w:t>3,427,783</w:t>
            </w:r>
          </w:p>
        </w:tc>
        <w:tc>
          <w:tcPr>
            <w:cnfStyle w:val="000010000000" w:firstRow="0" w:lastRow="0" w:firstColumn="0" w:lastColumn="0" w:oddVBand="1" w:evenVBand="0" w:oddHBand="0" w:evenHBand="0" w:firstRowFirstColumn="0" w:firstRowLastColumn="0" w:lastRowFirstColumn="0" w:lastRowLastColumn="0"/>
            <w:tcW w:w="1599" w:type="dxa"/>
          </w:tcPr>
          <w:p w14:paraId="5356BC88" w14:textId="77777777" w:rsidR="00CF5CBE" w:rsidRPr="00935B13" w:rsidRDefault="00CF5CBE" w:rsidP="00CF5CBE">
            <w:pPr>
              <w:spacing w:after="160" w:line="259" w:lineRule="auto"/>
              <w:jc w:val="right"/>
              <w:rPr>
                <w:b w:val="0"/>
              </w:rPr>
            </w:pPr>
            <w:r>
              <w:rPr>
                <w:b w:val="0"/>
              </w:rPr>
              <w:t>69,852</w:t>
            </w:r>
          </w:p>
        </w:tc>
        <w:tc>
          <w:tcPr>
            <w:cnfStyle w:val="000100000000" w:firstRow="0" w:lastRow="0" w:firstColumn="0" w:lastColumn="1" w:oddVBand="0" w:evenVBand="0" w:oddHBand="0" w:evenHBand="0" w:firstRowFirstColumn="0" w:firstRowLastColumn="0" w:lastRowFirstColumn="0" w:lastRowLastColumn="0"/>
            <w:tcW w:w="1599" w:type="dxa"/>
          </w:tcPr>
          <w:p w14:paraId="418B9B2D" w14:textId="77777777" w:rsidR="00CF5CBE" w:rsidRPr="00935B13" w:rsidRDefault="00CF5CBE" w:rsidP="00CF5CBE">
            <w:pPr>
              <w:spacing w:after="160" w:line="259" w:lineRule="auto"/>
              <w:jc w:val="right"/>
              <w:rPr>
                <w:b w:val="0"/>
              </w:rPr>
            </w:pPr>
            <w:r>
              <w:rPr>
                <w:b w:val="0"/>
              </w:rPr>
              <w:t>10,967,852</w:t>
            </w:r>
          </w:p>
        </w:tc>
      </w:tr>
    </w:tbl>
    <w:p w14:paraId="07664742" w14:textId="77777777" w:rsidR="004905D3" w:rsidRDefault="004905D3" w:rsidP="00CF5CBE">
      <w:pPr>
        <w:jc w:val="center"/>
        <w:rPr>
          <w:b/>
          <w:bCs/>
          <w:sz w:val="16"/>
        </w:rPr>
      </w:pPr>
    </w:p>
    <w:p w14:paraId="79C86DC3" w14:textId="77777777" w:rsidR="00074E8F" w:rsidRPr="00074E8F" w:rsidRDefault="00074E8F" w:rsidP="00CF5CBE">
      <w:pPr>
        <w:jc w:val="center"/>
        <w:rPr>
          <w:rFonts w:cs="Arial"/>
          <w:sz w:val="20"/>
        </w:rPr>
      </w:pPr>
      <w:r w:rsidRPr="00087BA0">
        <w:rPr>
          <w:b/>
          <w:bCs/>
          <w:sz w:val="16"/>
        </w:rPr>
        <w:t xml:space="preserve">Table </w:t>
      </w:r>
      <w:r w:rsidRPr="00087BA0">
        <w:rPr>
          <w:b/>
          <w:bCs/>
          <w:sz w:val="16"/>
        </w:rPr>
        <w:fldChar w:fldCharType="begin"/>
      </w:r>
      <w:r w:rsidRPr="00087BA0">
        <w:rPr>
          <w:b/>
          <w:bCs/>
          <w:sz w:val="16"/>
        </w:rPr>
        <w:instrText xml:space="preserve"> SEQ Table \* ARABIC </w:instrText>
      </w:r>
      <w:r w:rsidRPr="00087BA0">
        <w:rPr>
          <w:b/>
          <w:bCs/>
          <w:sz w:val="16"/>
        </w:rPr>
        <w:fldChar w:fldCharType="separate"/>
      </w:r>
      <w:r w:rsidR="00AA534C">
        <w:rPr>
          <w:b/>
          <w:bCs/>
          <w:noProof/>
          <w:sz w:val="16"/>
        </w:rPr>
        <w:t>5</w:t>
      </w:r>
      <w:r w:rsidRPr="00087BA0">
        <w:rPr>
          <w:sz w:val="16"/>
        </w:rPr>
        <w:fldChar w:fldCharType="end"/>
      </w:r>
      <w:r w:rsidRPr="00087BA0">
        <w:rPr>
          <w:b/>
          <w:bCs/>
          <w:sz w:val="16"/>
        </w:rPr>
        <w:t xml:space="preserve"> – Match Contribution for the Federal Fiscal Year</w:t>
      </w:r>
    </w:p>
    <w:p w14:paraId="1927DA49" w14:textId="77777777" w:rsidR="004905D3" w:rsidRDefault="004905D3" w:rsidP="00323F2E">
      <w:pPr>
        <w:rPr>
          <w:b/>
          <w:u w:val="single"/>
        </w:rPr>
      </w:pPr>
    </w:p>
    <w:p w14:paraId="28EDF385" w14:textId="77777777" w:rsidR="00703944" w:rsidRDefault="00703944" w:rsidP="00703944">
      <w:pPr>
        <w:pStyle w:val="Default"/>
        <w:rPr>
          <w:rFonts w:ascii="Arial" w:hAnsi="Arial" w:cs="Arial"/>
          <w:b/>
          <w:u w:val="single"/>
        </w:rPr>
      </w:pPr>
      <w:r w:rsidRPr="00A5597E">
        <w:rPr>
          <w:rFonts w:ascii="Arial" w:hAnsi="Arial" w:cs="Arial"/>
          <w:b/>
          <w:u w:val="single"/>
        </w:rPr>
        <w:t xml:space="preserve">HOME PROGRAM INCOME TABLE (HOME GRANTEES ONLY) </w:t>
      </w:r>
    </w:p>
    <w:p w14:paraId="4BA3F65B" w14:textId="77777777" w:rsidR="004905D3" w:rsidRPr="004905D3" w:rsidRDefault="004905D3" w:rsidP="004905D3">
      <w:pPr>
        <w:spacing w:after="0"/>
        <w:rPr>
          <w:b/>
          <w:u w:val="single"/>
        </w:rPr>
      </w:pPr>
    </w:p>
    <w:tbl>
      <w:tblPr>
        <w:tblStyle w:val="GridTable4-Accent3"/>
        <w:tblW w:w="5000" w:type="pct"/>
        <w:tblLayout w:type="fixed"/>
        <w:tblLook w:val="01E0" w:firstRow="1" w:lastRow="1" w:firstColumn="1" w:lastColumn="1" w:noHBand="0" w:noVBand="0"/>
      </w:tblPr>
      <w:tblGrid>
        <w:gridCol w:w="3055"/>
        <w:gridCol w:w="2700"/>
        <w:gridCol w:w="2878"/>
        <w:gridCol w:w="2878"/>
        <w:gridCol w:w="2879"/>
      </w:tblGrid>
      <w:tr w:rsidR="00323F2E" w:rsidRPr="00087BA0" w14:paraId="5AA21178" w14:textId="77777777" w:rsidTr="00662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5"/>
            <w:vAlign w:val="center"/>
          </w:tcPr>
          <w:p w14:paraId="6C2ECE02" w14:textId="77777777" w:rsidR="00323F2E" w:rsidRPr="00087BA0" w:rsidRDefault="00662F14" w:rsidP="00757E30">
            <w:pPr>
              <w:spacing w:after="160" w:line="259" w:lineRule="auto"/>
              <w:jc w:val="center"/>
            </w:pPr>
            <w:r w:rsidRPr="00662F14">
              <w:rPr>
                <w:i/>
              </w:rPr>
              <w:t>Program Income</w:t>
            </w:r>
            <w:r>
              <w:t xml:space="preserve"> </w:t>
            </w:r>
            <w:r w:rsidR="00A87ACC">
              <w:t xml:space="preserve"> </w:t>
            </w:r>
            <w:r>
              <w:t xml:space="preserve">~ </w:t>
            </w:r>
            <w:r w:rsidR="00A87ACC">
              <w:t xml:space="preserve"> </w:t>
            </w:r>
            <w:r w:rsidR="00323F2E" w:rsidRPr="00087BA0">
              <w:t>Enter the program amounts for the reporting period</w:t>
            </w:r>
          </w:p>
        </w:tc>
      </w:tr>
      <w:tr w:rsidR="00323F2E" w:rsidRPr="00087BA0" w14:paraId="2DF25BD2" w14:textId="77777777" w:rsidTr="00662F14">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1685146B" w14:textId="77777777" w:rsidR="00323F2E" w:rsidRPr="00662F14" w:rsidRDefault="00A5597E" w:rsidP="00757E30">
            <w:pPr>
              <w:spacing w:after="160" w:line="259" w:lineRule="auto"/>
              <w:jc w:val="center"/>
              <w:rPr>
                <w:b w:val="0"/>
                <w:sz w:val="22"/>
              </w:rPr>
            </w:pPr>
            <w:r w:rsidRPr="00662F14">
              <w:rPr>
                <w:b w:val="0"/>
                <w:sz w:val="22"/>
              </w:rPr>
              <w:t>Balance on hand at beginning</w:t>
            </w:r>
            <w:r w:rsidR="00323F2E" w:rsidRPr="00662F14">
              <w:rPr>
                <w:b w:val="0"/>
                <w:sz w:val="22"/>
              </w:rPr>
              <w:t xml:space="preserve"> of reporting period</w:t>
            </w:r>
          </w:p>
          <w:p w14:paraId="0A6D0EF6" w14:textId="77777777" w:rsidR="00323F2E" w:rsidRPr="00662F14" w:rsidRDefault="00323F2E" w:rsidP="00757E30">
            <w:pPr>
              <w:spacing w:after="160" w:line="259" w:lineRule="auto"/>
              <w:jc w:val="center"/>
              <w:rPr>
                <w:b w:val="0"/>
                <w:sz w:val="22"/>
              </w:rPr>
            </w:pPr>
            <w:r w:rsidRPr="00662F14">
              <w:rPr>
                <w:b w:val="0"/>
                <w:sz w:val="22"/>
              </w:rPr>
              <w:t>$</w:t>
            </w:r>
          </w:p>
        </w:tc>
        <w:tc>
          <w:tcPr>
            <w:cnfStyle w:val="000010000000" w:firstRow="0" w:lastRow="0" w:firstColumn="0" w:lastColumn="0" w:oddVBand="1" w:evenVBand="0" w:oddHBand="0" w:evenHBand="0" w:firstRowFirstColumn="0" w:firstRowLastColumn="0" w:lastRowFirstColumn="0" w:lastRowLastColumn="0"/>
            <w:tcW w:w="2700" w:type="dxa"/>
            <w:vAlign w:val="center"/>
          </w:tcPr>
          <w:p w14:paraId="14E3AECA" w14:textId="77777777" w:rsidR="00323F2E" w:rsidRPr="00662F14" w:rsidRDefault="00323F2E" w:rsidP="00757E30">
            <w:pPr>
              <w:spacing w:after="160" w:line="259" w:lineRule="auto"/>
              <w:jc w:val="center"/>
              <w:rPr>
                <w:sz w:val="22"/>
              </w:rPr>
            </w:pPr>
            <w:r w:rsidRPr="00662F14">
              <w:rPr>
                <w:sz w:val="22"/>
              </w:rPr>
              <w:t>Amount received during reporting period</w:t>
            </w:r>
          </w:p>
          <w:p w14:paraId="7DB5306E" w14:textId="77777777" w:rsidR="00323F2E" w:rsidRPr="00662F14" w:rsidRDefault="00323F2E" w:rsidP="00757E30">
            <w:pPr>
              <w:spacing w:after="160" w:line="259" w:lineRule="auto"/>
              <w:jc w:val="center"/>
              <w:rPr>
                <w:sz w:val="22"/>
              </w:rPr>
            </w:pPr>
            <w:r w:rsidRPr="00662F14">
              <w:rPr>
                <w:sz w:val="22"/>
              </w:rPr>
              <w:t>$</w:t>
            </w:r>
          </w:p>
        </w:tc>
        <w:tc>
          <w:tcPr>
            <w:tcW w:w="2878" w:type="dxa"/>
            <w:vAlign w:val="center"/>
          </w:tcPr>
          <w:p w14:paraId="2B0FDCE1" w14:textId="77777777" w:rsidR="00323F2E" w:rsidRPr="00662F14" w:rsidRDefault="00323F2E" w:rsidP="00757E3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2"/>
              </w:rPr>
            </w:pPr>
            <w:r w:rsidRPr="00662F14">
              <w:rPr>
                <w:sz w:val="22"/>
              </w:rPr>
              <w:t>Total amount expended during reporting period</w:t>
            </w:r>
          </w:p>
          <w:p w14:paraId="1A997364" w14:textId="77777777" w:rsidR="00323F2E" w:rsidRPr="00662F14" w:rsidRDefault="00323F2E" w:rsidP="00757E3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2"/>
              </w:rPr>
            </w:pPr>
            <w:r w:rsidRPr="00662F14">
              <w:rPr>
                <w:sz w:val="22"/>
              </w:rPr>
              <w:t>$</w:t>
            </w:r>
          </w:p>
        </w:tc>
        <w:tc>
          <w:tcPr>
            <w:cnfStyle w:val="000010000000" w:firstRow="0" w:lastRow="0" w:firstColumn="0" w:lastColumn="0" w:oddVBand="1" w:evenVBand="0" w:oddHBand="0" w:evenHBand="0" w:firstRowFirstColumn="0" w:firstRowLastColumn="0" w:lastRowFirstColumn="0" w:lastRowLastColumn="0"/>
            <w:tcW w:w="2878" w:type="dxa"/>
            <w:vAlign w:val="center"/>
          </w:tcPr>
          <w:p w14:paraId="0BEC7A07" w14:textId="77777777" w:rsidR="00323F2E" w:rsidRPr="00662F14" w:rsidRDefault="00323F2E" w:rsidP="00757E30">
            <w:pPr>
              <w:spacing w:after="160" w:line="259" w:lineRule="auto"/>
              <w:jc w:val="center"/>
              <w:rPr>
                <w:sz w:val="22"/>
              </w:rPr>
            </w:pPr>
            <w:r w:rsidRPr="00662F14">
              <w:rPr>
                <w:sz w:val="22"/>
              </w:rPr>
              <w:t>Amount expended for TBRA</w:t>
            </w:r>
          </w:p>
          <w:p w14:paraId="0A1228F3" w14:textId="77777777" w:rsidR="00323F2E" w:rsidRPr="00662F14" w:rsidRDefault="00323F2E" w:rsidP="00757E30">
            <w:pPr>
              <w:spacing w:after="160" w:line="259" w:lineRule="auto"/>
              <w:jc w:val="center"/>
              <w:rPr>
                <w:sz w:val="22"/>
              </w:rPr>
            </w:pPr>
            <w:r w:rsidRPr="00662F14">
              <w:rPr>
                <w:sz w:val="22"/>
              </w:rPr>
              <w:t>$</w:t>
            </w:r>
          </w:p>
        </w:tc>
        <w:tc>
          <w:tcPr>
            <w:cnfStyle w:val="000100000000" w:firstRow="0" w:lastRow="0" w:firstColumn="0" w:lastColumn="1" w:oddVBand="0" w:evenVBand="0" w:oddHBand="0" w:evenHBand="0" w:firstRowFirstColumn="0" w:firstRowLastColumn="0" w:lastRowFirstColumn="0" w:lastRowLastColumn="0"/>
            <w:tcW w:w="2879" w:type="dxa"/>
            <w:vAlign w:val="center"/>
          </w:tcPr>
          <w:p w14:paraId="75B9B3E9" w14:textId="77777777" w:rsidR="00323F2E" w:rsidRPr="00662F14" w:rsidRDefault="00323F2E" w:rsidP="00757E30">
            <w:pPr>
              <w:spacing w:after="160" w:line="259" w:lineRule="auto"/>
              <w:jc w:val="center"/>
              <w:rPr>
                <w:b w:val="0"/>
                <w:sz w:val="22"/>
              </w:rPr>
            </w:pPr>
            <w:r w:rsidRPr="00662F14">
              <w:rPr>
                <w:b w:val="0"/>
                <w:sz w:val="22"/>
              </w:rPr>
              <w:t>Balance on hand at end of reporting period</w:t>
            </w:r>
          </w:p>
          <w:p w14:paraId="7037F657" w14:textId="77777777" w:rsidR="00323F2E" w:rsidRPr="00662F14" w:rsidRDefault="00323F2E" w:rsidP="00757E30">
            <w:pPr>
              <w:spacing w:after="160" w:line="259" w:lineRule="auto"/>
              <w:jc w:val="center"/>
              <w:rPr>
                <w:b w:val="0"/>
                <w:sz w:val="22"/>
              </w:rPr>
            </w:pPr>
            <w:r w:rsidRPr="00662F14">
              <w:rPr>
                <w:b w:val="0"/>
                <w:sz w:val="22"/>
              </w:rPr>
              <w:t>$</w:t>
            </w:r>
          </w:p>
        </w:tc>
      </w:tr>
      <w:tr w:rsidR="00323F2E" w:rsidRPr="00087BA0" w14:paraId="4916EF8B" w14:textId="77777777" w:rsidTr="00662F1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45B956A3" w14:textId="77777777" w:rsidR="00323F2E" w:rsidRPr="00935B13" w:rsidRDefault="00C8768B" w:rsidP="00757E30">
            <w:pPr>
              <w:spacing w:after="160" w:line="259" w:lineRule="auto"/>
              <w:jc w:val="right"/>
              <w:rPr>
                <w:b w:val="0"/>
              </w:rPr>
            </w:pPr>
            <w:r>
              <w:rPr>
                <w:b w:val="0"/>
              </w:rPr>
              <w:t>21,491,629</w:t>
            </w:r>
          </w:p>
        </w:tc>
        <w:tc>
          <w:tcPr>
            <w:cnfStyle w:val="000010000000" w:firstRow="0" w:lastRow="0" w:firstColumn="0" w:lastColumn="0" w:oddVBand="1" w:evenVBand="0" w:oddHBand="0" w:evenHBand="0" w:firstRowFirstColumn="0" w:firstRowLastColumn="0" w:lastRowFirstColumn="0" w:lastRowLastColumn="0"/>
            <w:tcW w:w="2700" w:type="dxa"/>
            <w:vAlign w:val="center"/>
          </w:tcPr>
          <w:p w14:paraId="723D92C3" w14:textId="77777777" w:rsidR="00323F2E" w:rsidRPr="00935B13" w:rsidRDefault="00C8768B" w:rsidP="00757E30">
            <w:pPr>
              <w:spacing w:after="160" w:line="259" w:lineRule="auto"/>
              <w:jc w:val="right"/>
              <w:rPr>
                <w:b w:val="0"/>
              </w:rPr>
            </w:pPr>
            <w:r>
              <w:rPr>
                <w:b w:val="0"/>
              </w:rPr>
              <w:t>9,679,207</w:t>
            </w:r>
          </w:p>
        </w:tc>
        <w:tc>
          <w:tcPr>
            <w:tcW w:w="2878" w:type="dxa"/>
            <w:vAlign w:val="center"/>
          </w:tcPr>
          <w:p w14:paraId="3F344417" w14:textId="77777777" w:rsidR="00323F2E" w:rsidRPr="00935B13" w:rsidRDefault="00C8768B" w:rsidP="00757E30">
            <w:pPr>
              <w:spacing w:after="160" w:line="259" w:lineRule="auto"/>
              <w:jc w:val="right"/>
              <w:cnfStyle w:val="010000000000" w:firstRow="0" w:lastRow="1" w:firstColumn="0" w:lastColumn="0" w:oddVBand="0" w:evenVBand="0" w:oddHBand="0" w:evenHBand="0" w:firstRowFirstColumn="0" w:firstRowLastColumn="0" w:lastRowFirstColumn="0" w:lastRowLastColumn="0"/>
              <w:rPr>
                <w:b w:val="0"/>
              </w:rPr>
            </w:pPr>
            <w:r>
              <w:rPr>
                <w:b w:val="0"/>
              </w:rPr>
              <w:t>8,476,397</w:t>
            </w:r>
          </w:p>
        </w:tc>
        <w:tc>
          <w:tcPr>
            <w:cnfStyle w:val="000010000000" w:firstRow="0" w:lastRow="0" w:firstColumn="0" w:lastColumn="0" w:oddVBand="1" w:evenVBand="0" w:oddHBand="0" w:evenHBand="0" w:firstRowFirstColumn="0" w:firstRowLastColumn="0" w:lastRowFirstColumn="0" w:lastRowLastColumn="0"/>
            <w:tcW w:w="2878" w:type="dxa"/>
            <w:vAlign w:val="center"/>
          </w:tcPr>
          <w:p w14:paraId="53250CEE" w14:textId="77777777" w:rsidR="00323F2E" w:rsidRPr="00935B13" w:rsidRDefault="00C8768B" w:rsidP="00757E30">
            <w:pPr>
              <w:spacing w:after="160" w:line="259" w:lineRule="auto"/>
              <w:jc w:val="right"/>
              <w:rPr>
                <w:b w:val="0"/>
              </w:rPr>
            </w:pPr>
            <w:r>
              <w:rPr>
                <w:b w:val="0"/>
              </w:rPr>
              <w:t>77,562</w:t>
            </w:r>
          </w:p>
        </w:tc>
        <w:tc>
          <w:tcPr>
            <w:cnfStyle w:val="000100000000" w:firstRow="0" w:lastRow="0" w:firstColumn="0" w:lastColumn="1" w:oddVBand="0" w:evenVBand="0" w:oddHBand="0" w:evenHBand="0" w:firstRowFirstColumn="0" w:firstRowLastColumn="0" w:lastRowFirstColumn="0" w:lastRowLastColumn="0"/>
            <w:tcW w:w="2879" w:type="dxa"/>
            <w:vAlign w:val="center"/>
          </w:tcPr>
          <w:p w14:paraId="4F6DF9DA" w14:textId="77777777" w:rsidR="00323F2E" w:rsidRPr="00935B13" w:rsidRDefault="00C8768B" w:rsidP="00757E30">
            <w:pPr>
              <w:spacing w:after="160" w:line="259" w:lineRule="auto"/>
              <w:jc w:val="right"/>
              <w:rPr>
                <w:b w:val="0"/>
              </w:rPr>
            </w:pPr>
            <w:r>
              <w:rPr>
                <w:b w:val="0"/>
              </w:rPr>
              <w:t>22,694,439</w:t>
            </w:r>
          </w:p>
        </w:tc>
      </w:tr>
    </w:tbl>
    <w:p w14:paraId="0FF08F0D" w14:textId="77777777" w:rsidR="00DB46AC" w:rsidRDefault="00323F2E" w:rsidP="00074E8F">
      <w:pPr>
        <w:jc w:val="center"/>
        <w:rPr>
          <w:b/>
          <w:bCs/>
          <w:sz w:val="16"/>
        </w:rPr>
      </w:pPr>
      <w:r w:rsidRPr="00087BA0">
        <w:rPr>
          <w:b/>
          <w:bCs/>
          <w:sz w:val="16"/>
        </w:rPr>
        <w:t xml:space="preserve">Table </w:t>
      </w:r>
      <w:r w:rsidRPr="00087BA0">
        <w:rPr>
          <w:b/>
          <w:bCs/>
          <w:sz w:val="16"/>
        </w:rPr>
        <w:fldChar w:fldCharType="begin"/>
      </w:r>
      <w:r w:rsidRPr="00087BA0">
        <w:rPr>
          <w:b/>
          <w:bCs/>
          <w:sz w:val="16"/>
        </w:rPr>
        <w:instrText xml:space="preserve"> SEQ Table \* ARABIC </w:instrText>
      </w:r>
      <w:r w:rsidRPr="00087BA0">
        <w:rPr>
          <w:b/>
          <w:bCs/>
          <w:sz w:val="16"/>
        </w:rPr>
        <w:fldChar w:fldCharType="separate"/>
      </w:r>
      <w:r w:rsidR="00AA534C">
        <w:rPr>
          <w:b/>
          <w:bCs/>
          <w:noProof/>
          <w:sz w:val="16"/>
        </w:rPr>
        <w:t>6</w:t>
      </w:r>
      <w:r w:rsidRPr="00087BA0">
        <w:rPr>
          <w:b/>
          <w:sz w:val="16"/>
        </w:rPr>
        <w:fldChar w:fldCharType="end"/>
      </w:r>
      <w:r w:rsidR="00074E8F">
        <w:rPr>
          <w:b/>
          <w:bCs/>
          <w:sz w:val="16"/>
        </w:rPr>
        <w:t xml:space="preserve"> – Program Income</w:t>
      </w:r>
    </w:p>
    <w:p w14:paraId="1AAC9A40" w14:textId="77777777" w:rsidR="00662F14" w:rsidRPr="004905D3" w:rsidRDefault="008734C1" w:rsidP="004905D3">
      <w:pPr>
        <w:rPr>
          <w:b/>
          <w:bCs/>
          <w:sz w:val="16"/>
        </w:rPr>
      </w:pPr>
      <w:r>
        <w:rPr>
          <w:b/>
          <w:bCs/>
          <w:sz w:val="16"/>
        </w:rPr>
        <w:br w:type="page"/>
      </w:r>
    </w:p>
    <w:p w14:paraId="6AA64963" w14:textId="77777777" w:rsidR="00662F14" w:rsidRDefault="00662F14" w:rsidP="00A87ACC">
      <w:pPr>
        <w:pStyle w:val="Default"/>
        <w:spacing w:before="240"/>
        <w:rPr>
          <w:rFonts w:ascii="Arial" w:hAnsi="Arial" w:cs="Arial"/>
          <w:b/>
          <w:u w:val="single"/>
        </w:rPr>
      </w:pPr>
      <w:r w:rsidRPr="00662F14">
        <w:rPr>
          <w:rFonts w:ascii="Arial" w:hAnsi="Arial" w:cs="Arial"/>
          <w:b/>
          <w:u w:val="single"/>
        </w:rPr>
        <w:lastRenderedPageBreak/>
        <w:t>Minority Business Enterprises and Women Business Enterprises</w:t>
      </w:r>
    </w:p>
    <w:p w14:paraId="085A4764" w14:textId="77777777" w:rsidR="00074E8F" w:rsidRPr="00213D54" w:rsidRDefault="00074E8F" w:rsidP="00213D54">
      <w:pPr>
        <w:widowControl w:val="0"/>
        <w:spacing w:after="100" w:afterAutospacing="1"/>
        <w:rPr>
          <w:i/>
          <w:color w:val="C00000"/>
        </w:rPr>
      </w:pPr>
    </w:p>
    <w:tbl>
      <w:tblPr>
        <w:tblStyle w:val="GridTable4-Accent3"/>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055"/>
        <w:gridCol w:w="2056"/>
        <w:gridCol w:w="2056"/>
        <w:gridCol w:w="2056"/>
        <w:gridCol w:w="2056"/>
        <w:gridCol w:w="2030"/>
        <w:gridCol w:w="26"/>
      </w:tblGrid>
      <w:tr w:rsidR="00323F2E" w:rsidRPr="00323F2E" w14:paraId="3D8CAD80" w14:textId="77777777" w:rsidTr="00074E8F">
        <w:trPr>
          <w:gridAfter w:val="1"/>
          <w:cnfStyle w:val="100000000000" w:firstRow="1" w:lastRow="0" w:firstColumn="0" w:lastColumn="0" w:oddVBand="0" w:evenVBand="0" w:oddHBand="0"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14485" w:type="dxa"/>
            <w:gridSpan w:val="7"/>
            <w:tcBorders>
              <w:top w:val="none" w:sz="0" w:space="0" w:color="auto"/>
              <w:left w:val="none" w:sz="0" w:space="0" w:color="auto"/>
              <w:bottom w:val="none" w:sz="0" w:space="0" w:color="auto"/>
              <w:right w:val="none" w:sz="0" w:space="0" w:color="auto"/>
            </w:tcBorders>
            <w:vAlign w:val="center"/>
          </w:tcPr>
          <w:p w14:paraId="0A717470" w14:textId="77777777" w:rsidR="00323F2E" w:rsidRPr="00A87ACC" w:rsidRDefault="00323F2E" w:rsidP="00323F2E">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A87ACC">
              <w:rPr>
                <w:i/>
              </w:rPr>
              <w:t>Indicate the number and dollar value of contracts for HOME projects completed during the reporting period</w:t>
            </w:r>
          </w:p>
        </w:tc>
      </w:tr>
      <w:tr w:rsidR="00A87ACC" w:rsidRPr="00323F2E" w14:paraId="1AA9B6D2" w14:textId="77777777" w:rsidTr="00877468">
        <w:tblPrEx>
          <w:tblBorders>
            <w:top w:val="single" w:sz="4" w:space="0" w:color="87A9CB" w:themeColor="accent3" w:themeTint="99"/>
            <w:left w:val="single" w:sz="4" w:space="0" w:color="87A9CB" w:themeColor="accent3" w:themeTint="99"/>
            <w:bottom w:val="single" w:sz="4" w:space="0" w:color="87A9CB" w:themeColor="accent3" w:themeTint="99"/>
            <w:right w:val="single" w:sz="4" w:space="0" w:color="87A9CB" w:themeColor="accent3" w:themeTint="99"/>
            <w:insideH w:val="single" w:sz="4" w:space="0" w:color="87A9CB" w:themeColor="accent3" w:themeTint="99"/>
            <w:insideV w:val="single" w:sz="4" w:space="0" w:color="87A9CB" w:themeColor="accent3" w:themeTint="9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6" w:type="dxa"/>
            <w:vMerge w:val="restart"/>
          </w:tcPr>
          <w:p w14:paraId="58E8E5E9" w14:textId="77777777" w:rsidR="00A87ACC" w:rsidRPr="00323F2E" w:rsidRDefault="00A87ACC" w:rsidP="00757E30">
            <w:pPr>
              <w:keepNext/>
              <w:widowControl w:val="0"/>
            </w:pPr>
          </w:p>
        </w:tc>
        <w:tc>
          <w:tcPr>
            <w:cnfStyle w:val="000010000000" w:firstRow="0" w:lastRow="0" w:firstColumn="0" w:lastColumn="0" w:oddVBand="1" w:evenVBand="0" w:oddHBand="0" w:evenHBand="0" w:firstRowFirstColumn="0" w:firstRowLastColumn="0" w:lastRowFirstColumn="0" w:lastRowLastColumn="0"/>
            <w:tcW w:w="2055" w:type="dxa"/>
            <w:vMerge w:val="restart"/>
            <w:vAlign w:val="center"/>
          </w:tcPr>
          <w:p w14:paraId="79C8F063" w14:textId="77777777" w:rsidR="00A87ACC" w:rsidRPr="002B730E" w:rsidRDefault="00A87ACC" w:rsidP="00323F2E">
            <w:pPr>
              <w:keepNext/>
              <w:widowControl w:val="0"/>
              <w:jc w:val="center"/>
              <w:rPr>
                <w:b/>
              </w:rPr>
            </w:pPr>
            <w:r w:rsidRPr="002B730E">
              <w:rPr>
                <w:b/>
              </w:rPr>
              <w:t>Total</w:t>
            </w:r>
          </w:p>
        </w:tc>
        <w:tc>
          <w:tcPr>
            <w:cnfStyle w:val="000100000000" w:firstRow="0" w:lastRow="0" w:firstColumn="0" w:lastColumn="1" w:oddVBand="0" w:evenVBand="0" w:oddHBand="0" w:evenHBand="0" w:firstRowFirstColumn="0" w:firstRowLastColumn="0" w:lastRowFirstColumn="0" w:lastRowLastColumn="0"/>
            <w:tcW w:w="10280" w:type="dxa"/>
            <w:gridSpan w:val="6"/>
            <w:vAlign w:val="center"/>
          </w:tcPr>
          <w:p w14:paraId="2CBAF084" w14:textId="77777777" w:rsidR="00A87ACC" w:rsidRPr="00A87ACC" w:rsidRDefault="00A87ACC" w:rsidP="00757E30">
            <w:pPr>
              <w:keepNext/>
              <w:widowControl w:val="0"/>
              <w:jc w:val="center"/>
            </w:pPr>
            <w:r w:rsidRPr="00A87ACC">
              <w:t>Minority Business Enterprises</w:t>
            </w:r>
          </w:p>
        </w:tc>
      </w:tr>
      <w:tr w:rsidR="00323F2E" w14:paraId="063118DC" w14:textId="77777777" w:rsidTr="00A87ACC">
        <w:tblPrEx>
          <w:tblBorders>
            <w:top w:val="single" w:sz="4" w:space="0" w:color="87A9CB" w:themeColor="accent3" w:themeTint="99"/>
            <w:left w:val="single" w:sz="4" w:space="0" w:color="87A9CB" w:themeColor="accent3" w:themeTint="99"/>
            <w:bottom w:val="single" w:sz="4" w:space="0" w:color="87A9CB" w:themeColor="accent3" w:themeTint="99"/>
            <w:right w:val="single" w:sz="4" w:space="0" w:color="87A9CB" w:themeColor="accent3" w:themeTint="99"/>
            <w:insideH w:val="single" w:sz="4" w:space="0" w:color="87A9CB" w:themeColor="accent3" w:themeTint="99"/>
            <w:insideV w:val="single" w:sz="4" w:space="0" w:color="87A9CB" w:themeColor="accent3" w:themeTint="99"/>
          </w:tblBorders>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6" w:type="dxa"/>
            <w:vMerge/>
          </w:tcPr>
          <w:p w14:paraId="7BD758F9" w14:textId="77777777" w:rsidR="00323F2E" w:rsidRDefault="00323F2E" w:rsidP="00757E30">
            <w:pPr>
              <w:keepNext/>
              <w:widowControl w:val="0"/>
              <w:rPr>
                <w:b w:val="0"/>
              </w:rPr>
            </w:pPr>
          </w:p>
        </w:tc>
        <w:tc>
          <w:tcPr>
            <w:cnfStyle w:val="000010000000" w:firstRow="0" w:lastRow="0" w:firstColumn="0" w:lastColumn="0" w:oddVBand="1" w:evenVBand="0" w:oddHBand="0" w:evenHBand="0" w:firstRowFirstColumn="0" w:firstRowLastColumn="0" w:lastRowFirstColumn="0" w:lastRowLastColumn="0"/>
            <w:tcW w:w="2055" w:type="dxa"/>
            <w:vMerge/>
            <w:vAlign w:val="center"/>
          </w:tcPr>
          <w:p w14:paraId="0F7D3BA0" w14:textId="77777777" w:rsidR="00323F2E" w:rsidRDefault="00323F2E" w:rsidP="00323F2E">
            <w:pPr>
              <w:keepNext/>
              <w:widowControl w:val="0"/>
              <w:jc w:val="center"/>
              <w:rPr>
                <w:b w:val="0"/>
              </w:rPr>
            </w:pPr>
          </w:p>
        </w:tc>
        <w:tc>
          <w:tcPr>
            <w:tcW w:w="2056" w:type="dxa"/>
            <w:vAlign w:val="center"/>
          </w:tcPr>
          <w:p w14:paraId="526523A5" w14:textId="77777777" w:rsidR="00323F2E" w:rsidRPr="00A87ACC" w:rsidRDefault="00323F2E" w:rsidP="00323F2E">
            <w:pPr>
              <w:keepNext/>
              <w:jc w:val="center"/>
              <w:cnfStyle w:val="010000000000" w:firstRow="0" w:lastRow="1" w:firstColumn="0" w:lastColumn="0" w:oddVBand="0" w:evenVBand="0" w:oddHBand="0" w:evenHBand="0" w:firstRowFirstColumn="0" w:firstRowLastColumn="0" w:lastRowFirstColumn="0" w:lastRowLastColumn="0"/>
              <w:rPr>
                <w:b w:val="0"/>
              </w:rPr>
            </w:pPr>
            <w:r w:rsidRPr="00A87ACC">
              <w:rPr>
                <w:b w:val="0"/>
              </w:rPr>
              <w:t>Alaskan Native or American Indian</w:t>
            </w:r>
          </w:p>
        </w:tc>
        <w:tc>
          <w:tcPr>
            <w:cnfStyle w:val="000010000000" w:firstRow="0" w:lastRow="0" w:firstColumn="0" w:lastColumn="0" w:oddVBand="1" w:evenVBand="0" w:oddHBand="0" w:evenHBand="0" w:firstRowFirstColumn="0" w:firstRowLastColumn="0" w:lastRowFirstColumn="0" w:lastRowLastColumn="0"/>
            <w:tcW w:w="2056" w:type="dxa"/>
            <w:vAlign w:val="center"/>
          </w:tcPr>
          <w:p w14:paraId="0D154577" w14:textId="77777777" w:rsidR="00323F2E" w:rsidRPr="00A87ACC" w:rsidRDefault="00323F2E" w:rsidP="00323F2E">
            <w:pPr>
              <w:keepNext/>
              <w:widowControl w:val="0"/>
              <w:jc w:val="center"/>
              <w:rPr>
                <w:b w:val="0"/>
              </w:rPr>
            </w:pPr>
            <w:r w:rsidRPr="00A87ACC">
              <w:rPr>
                <w:b w:val="0"/>
              </w:rPr>
              <w:t>Asian or Pacific Islander</w:t>
            </w:r>
          </w:p>
        </w:tc>
        <w:tc>
          <w:tcPr>
            <w:tcW w:w="2056" w:type="dxa"/>
            <w:vAlign w:val="center"/>
          </w:tcPr>
          <w:p w14:paraId="04169584" w14:textId="77777777" w:rsidR="00323F2E" w:rsidRPr="00A87ACC" w:rsidRDefault="00323F2E" w:rsidP="00323F2E">
            <w:pPr>
              <w:keepNext/>
              <w:widowControl w:val="0"/>
              <w:jc w:val="center"/>
              <w:cnfStyle w:val="010000000000" w:firstRow="0" w:lastRow="1" w:firstColumn="0" w:lastColumn="0" w:oddVBand="0" w:evenVBand="0" w:oddHBand="0" w:evenHBand="0" w:firstRowFirstColumn="0" w:firstRowLastColumn="0" w:lastRowFirstColumn="0" w:lastRowLastColumn="0"/>
              <w:rPr>
                <w:b w:val="0"/>
              </w:rPr>
            </w:pPr>
            <w:r w:rsidRPr="00A87ACC">
              <w:rPr>
                <w:b w:val="0"/>
              </w:rPr>
              <w:t>Black Non-Hispanic</w:t>
            </w:r>
          </w:p>
        </w:tc>
        <w:tc>
          <w:tcPr>
            <w:cnfStyle w:val="000010000000" w:firstRow="0" w:lastRow="0" w:firstColumn="0" w:lastColumn="0" w:oddVBand="1" w:evenVBand="0" w:oddHBand="0" w:evenHBand="0" w:firstRowFirstColumn="0" w:firstRowLastColumn="0" w:lastRowFirstColumn="0" w:lastRowLastColumn="0"/>
            <w:tcW w:w="2056" w:type="dxa"/>
            <w:vAlign w:val="center"/>
          </w:tcPr>
          <w:p w14:paraId="71728DAA" w14:textId="77777777" w:rsidR="00323F2E" w:rsidRPr="00A87ACC" w:rsidRDefault="00323F2E" w:rsidP="00323F2E">
            <w:pPr>
              <w:keepNext/>
              <w:widowControl w:val="0"/>
              <w:jc w:val="center"/>
              <w:rPr>
                <w:b w:val="0"/>
              </w:rPr>
            </w:pPr>
            <w:r w:rsidRPr="00A87ACC">
              <w:rPr>
                <w:b w:val="0"/>
              </w:rPr>
              <w:t>Hispanic</w:t>
            </w:r>
          </w:p>
        </w:tc>
        <w:tc>
          <w:tcPr>
            <w:cnfStyle w:val="000100000000" w:firstRow="0" w:lastRow="0" w:firstColumn="0" w:lastColumn="1" w:oddVBand="0" w:evenVBand="0" w:oddHBand="0" w:evenHBand="0" w:firstRowFirstColumn="0" w:firstRowLastColumn="0" w:lastRowFirstColumn="0" w:lastRowLastColumn="0"/>
            <w:tcW w:w="2056" w:type="dxa"/>
            <w:gridSpan w:val="2"/>
            <w:shd w:val="clear" w:color="auto" w:fill="D7E2ED" w:themeFill="accent3" w:themeFillTint="33"/>
            <w:vAlign w:val="center"/>
          </w:tcPr>
          <w:p w14:paraId="52B1B31C" w14:textId="77777777" w:rsidR="00323F2E" w:rsidRPr="00A87ACC" w:rsidRDefault="00A87ACC" w:rsidP="00A87ACC">
            <w:pPr>
              <w:keepNext/>
              <w:widowControl w:val="0"/>
              <w:jc w:val="center"/>
              <w:rPr>
                <w:b w:val="0"/>
              </w:rPr>
            </w:pPr>
            <w:r w:rsidRPr="00A87ACC">
              <w:rPr>
                <w:b w:val="0"/>
              </w:rPr>
              <w:t>White Non-Hispanic</w:t>
            </w:r>
          </w:p>
        </w:tc>
      </w:tr>
    </w:tbl>
    <w:tbl>
      <w:tblPr>
        <w:tblW w:w="50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6"/>
        <w:gridCol w:w="2055"/>
        <w:gridCol w:w="2056"/>
        <w:gridCol w:w="2056"/>
        <w:gridCol w:w="2056"/>
        <w:gridCol w:w="2056"/>
        <w:gridCol w:w="2056"/>
      </w:tblGrid>
      <w:tr w:rsidR="00323F2E" w14:paraId="4516F4B3" w14:textId="77777777" w:rsidTr="0031344F">
        <w:trPr>
          <w:cantSplit/>
        </w:trPr>
        <w:tc>
          <w:tcPr>
            <w:tcW w:w="14511" w:type="dxa"/>
            <w:gridSpan w:val="7"/>
            <w:shd w:val="clear" w:color="auto" w:fill="D7E2ED" w:themeFill="accent3" w:themeFillTint="33"/>
          </w:tcPr>
          <w:p w14:paraId="249361AD" w14:textId="77777777" w:rsidR="00323F2E" w:rsidRDefault="00323F2E" w:rsidP="008734C1">
            <w:pPr>
              <w:keepNext/>
              <w:widowControl w:val="0"/>
              <w:spacing w:after="0" w:line="240" w:lineRule="auto"/>
              <w:jc w:val="center"/>
              <w:rPr>
                <w:b/>
              </w:rPr>
            </w:pPr>
            <w:r>
              <w:rPr>
                <w:b/>
              </w:rPr>
              <w:t>Contracts</w:t>
            </w:r>
          </w:p>
        </w:tc>
      </w:tr>
      <w:tr w:rsidR="00323F2E" w14:paraId="38C9E254" w14:textId="77777777" w:rsidTr="00935B13">
        <w:trPr>
          <w:cantSplit/>
        </w:trPr>
        <w:tc>
          <w:tcPr>
            <w:tcW w:w="2176" w:type="dxa"/>
          </w:tcPr>
          <w:p w14:paraId="1CB6627A" w14:textId="77777777" w:rsidR="00323F2E" w:rsidRDefault="00323F2E" w:rsidP="00757E30">
            <w:pPr>
              <w:spacing w:beforeAutospacing="1" w:afterAutospacing="1"/>
            </w:pPr>
            <w:r>
              <w:rPr>
                <w:color w:val="000000"/>
              </w:rPr>
              <w:t>Dollar Amount</w:t>
            </w:r>
          </w:p>
        </w:tc>
        <w:tc>
          <w:tcPr>
            <w:tcW w:w="2055" w:type="dxa"/>
            <w:vAlign w:val="center"/>
          </w:tcPr>
          <w:p w14:paraId="1BECA7EE" w14:textId="77777777" w:rsidR="00323F2E" w:rsidRPr="002B730E" w:rsidRDefault="00C8768B" w:rsidP="00935B13">
            <w:pPr>
              <w:spacing w:before="100" w:beforeAutospacing="1" w:after="100" w:afterAutospacing="1"/>
              <w:jc w:val="right"/>
              <w:rPr>
                <w:b/>
              </w:rPr>
            </w:pPr>
            <w:r w:rsidRPr="002B730E">
              <w:rPr>
                <w:b/>
              </w:rPr>
              <w:t>8,751,850</w:t>
            </w:r>
          </w:p>
        </w:tc>
        <w:tc>
          <w:tcPr>
            <w:tcW w:w="2056" w:type="dxa"/>
            <w:vAlign w:val="center"/>
          </w:tcPr>
          <w:p w14:paraId="60F3257C" w14:textId="77777777" w:rsidR="00323F2E" w:rsidRDefault="00C8768B" w:rsidP="00935B13">
            <w:pPr>
              <w:spacing w:before="100" w:beforeAutospacing="1" w:after="100" w:afterAutospacing="1"/>
              <w:jc w:val="right"/>
            </w:pPr>
            <w:r>
              <w:t>0</w:t>
            </w:r>
          </w:p>
        </w:tc>
        <w:tc>
          <w:tcPr>
            <w:tcW w:w="2056" w:type="dxa"/>
            <w:vAlign w:val="center"/>
          </w:tcPr>
          <w:p w14:paraId="6AF1DF95" w14:textId="77777777" w:rsidR="00323F2E" w:rsidRDefault="00C8768B" w:rsidP="00935B13">
            <w:pPr>
              <w:spacing w:before="100" w:beforeAutospacing="1" w:after="100" w:afterAutospacing="1"/>
              <w:jc w:val="right"/>
            </w:pPr>
            <w:r>
              <w:t>45,330</w:t>
            </w:r>
          </w:p>
        </w:tc>
        <w:tc>
          <w:tcPr>
            <w:tcW w:w="2056" w:type="dxa"/>
            <w:vAlign w:val="center"/>
          </w:tcPr>
          <w:p w14:paraId="5C1B59A7" w14:textId="77777777" w:rsidR="00323F2E" w:rsidRDefault="00C8768B" w:rsidP="00935B13">
            <w:pPr>
              <w:spacing w:before="100" w:beforeAutospacing="1" w:after="100" w:afterAutospacing="1"/>
              <w:jc w:val="right"/>
            </w:pPr>
            <w:r>
              <w:t>0</w:t>
            </w:r>
          </w:p>
        </w:tc>
        <w:tc>
          <w:tcPr>
            <w:tcW w:w="2056" w:type="dxa"/>
            <w:vAlign w:val="center"/>
          </w:tcPr>
          <w:p w14:paraId="204B45B2" w14:textId="77777777" w:rsidR="00323F2E" w:rsidRDefault="00C8768B" w:rsidP="00935B13">
            <w:pPr>
              <w:spacing w:beforeAutospacing="1" w:afterAutospacing="1"/>
              <w:jc w:val="right"/>
            </w:pPr>
            <w:r>
              <w:t>257,889</w:t>
            </w:r>
          </w:p>
        </w:tc>
        <w:tc>
          <w:tcPr>
            <w:tcW w:w="2056" w:type="dxa"/>
            <w:vAlign w:val="center"/>
          </w:tcPr>
          <w:p w14:paraId="02BD71F8" w14:textId="77777777" w:rsidR="00323F2E" w:rsidRDefault="00C8768B" w:rsidP="00935B13">
            <w:pPr>
              <w:spacing w:beforeAutospacing="1" w:afterAutospacing="1"/>
              <w:jc w:val="right"/>
            </w:pPr>
            <w:r>
              <w:t>8,448,631</w:t>
            </w:r>
          </w:p>
        </w:tc>
      </w:tr>
      <w:tr w:rsidR="00323F2E" w14:paraId="57DFBD5D" w14:textId="77777777" w:rsidTr="00935B13">
        <w:trPr>
          <w:cantSplit/>
        </w:trPr>
        <w:tc>
          <w:tcPr>
            <w:tcW w:w="2176" w:type="dxa"/>
          </w:tcPr>
          <w:p w14:paraId="33FC82F1" w14:textId="77777777" w:rsidR="00323F2E" w:rsidRDefault="00323F2E" w:rsidP="00757E30">
            <w:pPr>
              <w:spacing w:beforeAutospacing="1" w:afterAutospacing="1"/>
            </w:pPr>
            <w:r>
              <w:rPr>
                <w:color w:val="000000"/>
              </w:rPr>
              <w:t>Number</w:t>
            </w:r>
          </w:p>
        </w:tc>
        <w:tc>
          <w:tcPr>
            <w:tcW w:w="2055" w:type="dxa"/>
            <w:vAlign w:val="center"/>
          </w:tcPr>
          <w:p w14:paraId="79381A89" w14:textId="77777777" w:rsidR="00323F2E" w:rsidRPr="002B730E" w:rsidRDefault="00C8768B" w:rsidP="00935B13">
            <w:pPr>
              <w:spacing w:beforeAutospacing="1" w:afterAutospacing="1"/>
              <w:jc w:val="right"/>
              <w:rPr>
                <w:b/>
              </w:rPr>
            </w:pPr>
            <w:r w:rsidRPr="002B730E">
              <w:rPr>
                <w:b/>
              </w:rPr>
              <w:t>19</w:t>
            </w:r>
          </w:p>
        </w:tc>
        <w:tc>
          <w:tcPr>
            <w:tcW w:w="2056" w:type="dxa"/>
            <w:vAlign w:val="center"/>
          </w:tcPr>
          <w:p w14:paraId="785EE271" w14:textId="77777777" w:rsidR="00323F2E" w:rsidRDefault="00C8768B" w:rsidP="00935B13">
            <w:pPr>
              <w:spacing w:beforeAutospacing="1" w:afterAutospacing="1"/>
              <w:jc w:val="right"/>
            </w:pPr>
            <w:r>
              <w:t>0</w:t>
            </w:r>
          </w:p>
        </w:tc>
        <w:tc>
          <w:tcPr>
            <w:tcW w:w="2056" w:type="dxa"/>
            <w:vAlign w:val="center"/>
          </w:tcPr>
          <w:p w14:paraId="6B21FFCF" w14:textId="77777777" w:rsidR="00323F2E" w:rsidRDefault="00C8768B" w:rsidP="00935B13">
            <w:pPr>
              <w:spacing w:beforeAutospacing="1" w:afterAutospacing="1"/>
              <w:jc w:val="right"/>
            </w:pPr>
            <w:r>
              <w:t>1</w:t>
            </w:r>
          </w:p>
        </w:tc>
        <w:tc>
          <w:tcPr>
            <w:tcW w:w="2056" w:type="dxa"/>
            <w:vAlign w:val="center"/>
          </w:tcPr>
          <w:p w14:paraId="125FA4A9" w14:textId="77777777" w:rsidR="00323F2E" w:rsidRDefault="00C8768B" w:rsidP="00935B13">
            <w:pPr>
              <w:spacing w:beforeAutospacing="1" w:afterAutospacing="1"/>
              <w:jc w:val="right"/>
            </w:pPr>
            <w:r>
              <w:t>0</w:t>
            </w:r>
          </w:p>
        </w:tc>
        <w:tc>
          <w:tcPr>
            <w:tcW w:w="2056" w:type="dxa"/>
            <w:vAlign w:val="center"/>
          </w:tcPr>
          <w:p w14:paraId="7A3C8FA1" w14:textId="77777777" w:rsidR="00323F2E" w:rsidRDefault="00C8768B" w:rsidP="00935B13">
            <w:pPr>
              <w:spacing w:beforeAutospacing="1" w:afterAutospacing="1"/>
              <w:jc w:val="right"/>
            </w:pPr>
            <w:r>
              <w:t>4</w:t>
            </w:r>
          </w:p>
        </w:tc>
        <w:tc>
          <w:tcPr>
            <w:tcW w:w="2056" w:type="dxa"/>
            <w:vAlign w:val="center"/>
          </w:tcPr>
          <w:p w14:paraId="005F0216" w14:textId="77777777" w:rsidR="00323F2E" w:rsidRDefault="00C8768B" w:rsidP="00935B13">
            <w:pPr>
              <w:spacing w:beforeAutospacing="1" w:afterAutospacing="1"/>
              <w:jc w:val="right"/>
            </w:pPr>
            <w:r>
              <w:t>14</w:t>
            </w:r>
          </w:p>
        </w:tc>
      </w:tr>
      <w:tr w:rsidR="00323F2E" w14:paraId="1F4054CC" w14:textId="77777777" w:rsidTr="0031344F">
        <w:trPr>
          <w:cantSplit/>
        </w:trPr>
        <w:tc>
          <w:tcPr>
            <w:tcW w:w="14511" w:type="dxa"/>
            <w:gridSpan w:val="7"/>
            <w:shd w:val="clear" w:color="auto" w:fill="D7E2ED" w:themeFill="accent3" w:themeFillTint="33"/>
          </w:tcPr>
          <w:p w14:paraId="3D707B8B" w14:textId="77777777" w:rsidR="00323F2E" w:rsidRDefault="00323F2E" w:rsidP="008734C1">
            <w:pPr>
              <w:keepNext/>
              <w:widowControl w:val="0"/>
              <w:spacing w:after="0" w:line="240" w:lineRule="auto"/>
              <w:jc w:val="center"/>
              <w:rPr>
                <w:b/>
              </w:rPr>
            </w:pPr>
            <w:r>
              <w:rPr>
                <w:b/>
              </w:rPr>
              <w:t>Sub-Contracts</w:t>
            </w:r>
          </w:p>
        </w:tc>
      </w:tr>
      <w:tr w:rsidR="00323F2E" w14:paraId="48F662E1" w14:textId="77777777" w:rsidTr="00074E8F">
        <w:trPr>
          <w:cantSplit/>
        </w:trPr>
        <w:tc>
          <w:tcPr>
            <w:tcW w:w="2176" w:type="dxa"/>
          </w:tcPr>
          <w:p w14:paraId="0201CCA9" w14:textId="77777777" w:rsidR="00323F2E" w:rsidRDefault="00323F2E" w:rsidP="00935B13">
            <w:pPr>
              <w:spacing w:before="100" w:beforeAutospacing="1" w:after="100" w:afterAutospacing="1"/>
            </w:pPr>
            <w:r>
              <w:rPr>
                <w:color w:val="000000"/>
              </w:rPr>
              <w:t>Number</w:t>
            </w:r>
          </w:p>
        </w:tc>
        <w:tc>
          <w:tcPr>
            <w:tcW w:w="2055" w:type="dxa"/>
            <w:vAlign w:val="bottom"/>
          </w:tcPr>
          <w:p w14:paraId="1A152BDD" w14:textId="77777777" w:rsidR="00323F2E" w:rsidRPr="002B730E" w:rsidRDefault="00C8768B" w:rsidP="00935B13">
            <w:pPr>
              <w:spacing w:beforeAutospacing="1" w:afterAutospacing="1"/>
              <w:jc w:val="right"/>
              <w:rPr>
                <w:b/>
              </w:rPr>
            </w:pPr>
            <w:r w:rsidRPr="002B730E">
              <w:rPr>
                <w:b/>
              </w:rPr>
              <w:t>4,732,572</w:t>
            </w:r>
          </w:p>
        </w:tc>
        <w:tc>
          <w:tcPr>
            <w:tcW w:w="2056" w:type="dxa"/>
            <w:vAlign w:val="bottom"/>
          </w:tcPr>
          <w:p w14:paraId="3940872B" w14:textId="77777777" w:rsidR="00323F2E" w:rsidRPr="00935B13" w:rsidRDefault="00C8768B" w:rsidP="00935B13">
            <w:pPr>
              <w:spacing w:beforeAutospacing="1" w:afterAutospacing="1"/>
              <w:jc w:val="right"/>
            </w:pPr>
            <w:r>
              <w:t>0</w:t>
            </w:r>
          </w:p>
        </w:tc>
        <w:tc>
          <w:tcPr>
            <w:tcW w:w="2056" w:type="dxa"/>
            <w:vAlign w:val="bottom"/>
          </w:tcPr>
          <w:p w14:paraId="7B8E4AD8" w14:textId="77777777" w:rsidR="00323F2E" w:rsidRPr="00935B13" w:rsidRDefault="00C8768B" w:rsidP="00935B13">
            <w:pPr>
              <w:spacing w:before="100" w:beforeAutospacing="1" w:after="100" w:afterAutospacing="1"/>
              <w:jc w:val="right"/>
            </w:pPr>
            <w:r>
              <w:t>0</w:t>
            </w:r>
          </w:p>
        </w:tc>
        <w:tc>
          <w:tcPr>
            <w:tcW w:w="2056" w:type="dxa"/>
            <w:vAlign w:val="bottom"/>
          </w:tcPr>
          <w:p w14:paraId="1CDA3296" w14:textId="77777777" w:rsidR="00323F2E" w:rsidRPr="00935B13" w:rsidRDefault="00C8768B" w:rsidP="00935B13">
            <w:pPr>
              <w:spacing w:beforeAutospacing="1" w:afterAutospacing="1"/>
              <w:jc w:val="right"/>
            </w:pPr>
            <w:r>
              <w:t>0</w:t>
            </w:r>
          </w:p>
        </w:tc>
        <w:tc>
          <w:tcPr>
            <w:tcW w:w="2056" w:type="dxa"/>
            <w:vAlign w:val="bottom"/>
          </w:tcPr>
          <w:p w14:paraId="79D3708B" w14:textId="77777777" w:rsidR="00323F2E" w:rsidRPr="00935B13" w:rsidRDefault="00C8768B" w:rsidP="00935B13">
            <w:pPr>
              <w:spacing w:before="100" w:beforeAutospacing="1" w:after="100" w:afterAutospacing="1"/>
              <w:jc w:val="right"/>
            </w:pPr>
            <w:r>
              <w:t>2,364</w:t>
            </w:r>
          </w:p>
        </w:tc>
        <w:tc>
          <w:tcPr>
            <w:tcW w:w="2056" w:type="dxa"/>
            <w:vAlign w:val="bottom"/>
          </w:tcPr>
          <w:p w14:paraId="3F916C59" w14:textId="77777777" w:rsidR="00323F2E" w:rsidRPr="00935B13" w:rsidRDefault="00C8768B" w:rsidP="00935B13">
            <w:pPr>
              <w:spacing w:beforeAutospacing="1" w:afterAutospacing="1"/>
              <w:jc w:val="right"/>
            </w:pPr>
            <w:r>
              <w:t>4,730,208</w:t>
            </w:r>
          </w:p>
        </w:tc>
      </w:tr>
      <w:tr w:rsidR="00323F2E" w14:paraId="5E96A8AA" w14:textId="77777777" w:rsidTr="00074E8F">
        <w:trPr>
          <w:cantSplit/>
        </w:trPr>
        <w:tc>
          <w:tcPr>
            <w:tcW w:w="2176" w:type="dxa"/>
          </w:tcPr>
          <w:p w14:paraId="2F3C35B2" w14:textId="77777777" w:rsidR="00323F2E" w:rsidRDefault="00323F2E" w:rsidP="00935B13">
            <w:pPr>
              <w:spacing w:before="100" w:beforeAutospacing="1" w:after="100" w:afterAutospacing="1"/>
            </w:pPr>
            <w:r>
              <w:rPr>
                <w:color w:val="000000"/>
              </w:rPr>
              <w:t>Dollar Amount</w:t>
            </w:r>
          </w:p>
        </w:tc>
        <w:tc>
          <w:tcPr>
            <w:tcW w:w="2055" w:type="dxa"/>
            <w:vAlign w:val="bottom"/>
          </w:tcPr>
          <w:p w14:paraId="33E4ACFB" w14:textId="77777777" w:rsidR="00323F2E" w:rsidRPr="002B730E" w:rsidRDefault="00C8768B" w:rsidP="00935B13">
            <w:pPr>
              <w:spacing w:before="100" w:beforeAutospacing="1" w:after="100" w:afterAutospacing="1"/>
              <w:jc w:val="right"/>
              <w:rPr>
                <w:b/>
              </w:rPr>
            </w:pPr>
            <w:r w:rsidRPr="002B730E">
              <w:rPr>
                <w:b/>
              </w:rPr>
              <w:t>21</w:t>
            </w:r>
          </w:p>
        </w:tc>
        <w:tc>
          <w:tcPr>
            <w:tcW w:w="2056" w:type="dxa"/>
            <w:vAlign w:val="bottom"/>
          </w:tcPr>
          <w:p w14:paraId="66CCDF50" w14:textId="77777777" w:rsidR="00323F2E" w:rsidRPr="00935B13" w:rsidRDefault="00C8768B" w:rsidP="00935B13">
            <w:pPr>
              <w:spacing w:beforeAutospacing="1" w:afterAutospacing="1"/>
              <w:jc w:val="right"/>
            </w:pPr>
            <w:r>
              <w:t>0</w:t>
            </w:r>
          </w:p>
        </w:tc>
        <w:tc>
          <w:tcPr>
            <w:tcW w:w="2056" w:type="dxa"/>
            <w:vAlign w:val="bottom"/>
          </w:tcPr>
          <w:p w14:paraId="5CA000DD" w14:textId="77777777" w:rsidR="00323F2E" w:rsidRPr="00935B13" w:rsidRDefault="00C8768B" w:rsidP="00935B13">
            <w:pPr>
              <w:spacing w:before="100" w:beforeAutospacing="1" w:after="100" w:afterAutospacing="1"/>
              <w:jc w:val="right"/>
            </w:pPr>
            <w:r>
              <w:t>0</w:t>
            </w:r>
          </w:p>
        </w:tc>
        <w:tc>
          <w:tcPr>
            <w:tcW w:w="2056" w:type="dxa"/>
            <w:vAlign w:val="bottom"/>
          </w:tcPr>
          <w:p w14:paraId="014E0158" w14:textId="77777777" w:rsidR="00323F2E" w:rsidRPr="00935B13" w:rsidRDefault="00C8768B" w:rsidP="00935B13">
            <w:pPr>
              <w:spacing w:beforeAutospacing="1" w:afterAutospacing="1"/>
              <w:jc w:val="right"/>
            </w:pPr>
            <w:r>
              <w:t>0</w:t>
            </w:r>
          </w:p>
        </w:tc>
        <w:tc>
          <w:tcPr>
            <w:tcW w:w="2056" w:type="dxa"/>
            <w:vAlign w:val="bottom"/>
          </w:tcPr>
          <w:p w14:paraId="28964564" w14:textId="77777777" w:rsidR="00323F2E" w:rsidRPr="00935B13" w:rsidRDefault="00C8768B" w:rsidP="00935B13">
            <w:pPr>
              <w:spacing w:beforeAutospacing="1" w:afterAutospacing="1"/>
              <w:jc w:val="right"/>
            </w:pPr>
            <w:r>
              <w:t>2</w:t>
            </w:r>
          </w:p>
        </w:tc>
        <w:tc>
          <w:tcPr>
            <w:tcW w:w="2056" w:type="dxa"/>
            <w:vAlign w:val="bottom"/>
          </w:tcPr>
          <w:p w14:paraId="27F0DE8E" w14:textId="77777777" w:rsidR="00323F2E" w:rsidRPr="00935B13" w:rsidRDefault="00C8768B" w:rsidP="00935B13">
            <w:pPr>
              <w:spacing w:beforeAutospacing="1" w:afterAutospacing="1"/>
              <w:jc w:val="right"/>
            </w:pPr>
            <w:r>
              <w:t>19</w:t>
            </w:r>
          </w:p>
        </w:tc>
      </w:tr>
    </w:tbl>
    <w:tbl>
      <w:tblPr>
        <w:tblStyle w:val="GridTable4-Accent3"/>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C5DC" w:themeFill="accent3" w:themeFillTint="66"/>
        <w:tblLayout w:type="fixed"/>
        <w:tblLook w:val="01E0" w:firstRow="1" w:lastRow="1" w:firstColumn="1" w:lastColumn="1" w:noHBand="0" w:noVBand="0"/>
      </w:tblPr>
      <w:tblGrid>
        <w:gridCol w:w="2169"/>
        <w:gridCol w:w="3586"/>
        <w:gridCol w:w="4680"/>
        <w:gridCol w:w="4050"/>
      </w:tblGrid>
      <w:tr w:rsidR="00323F2E" w14:paraId="08DC46CD" w14:textId="77777777" w:rsidTr="002B730E">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169" w:type="dxa"/>
            <w:tcBorders>
              <w:top w:val="none" w:sz="0" w:space="0" w:color="auto"/>
              <w:left w:val="none" w:sz="0" w:space="0" w:color="auto"/>
              <w:bottom w:val="none" w:sz="0" w:space="0" w:color="auto"/>
              <w:right w:val="none" w:sz="0" w:space="0" w:color="auto"/>
            </w:tcBorders>
            <w:shd w:val="clear" w:color="auto" w:fill="AFC5DC" w:themeFill="accent3" w:themeFillTint="66"/>
          </w:tcPr>
          <w:p w14:paraId="54D1775B" w14:textId="77777777" w:rsidR="00323F2E" w:rsidRDefault="00323F2E" w:rsidP="00757E30">
            <w:pPr>
              <w:keepNext/>
              <w:widowControl w:val="0"/>
              <w:rPr>
                <w:b w:val="0"/>
              </w:rPr>
            </w:pPr>
          </w:p>
        </w:tc>
        <w:tc>
          <w:tcPr>
            <w:cnfStyle w:val="000010000000" w:firstRow="0" w:lastRow="0" w:firstColumn="0" w:lastColumn="0" w:oddVBand="1" w:evenVBand="0" w:oddHBand="0" w:evenHBand="0" w:firstRowFirstColumn="0" w:firstRowLastColumn="0" w:lastRowFirstColumn="0" w:lastRowLastColumn="0"/>
            <w:tcW w:w="3586" w:type="dxa"/>
            <w:tcBorders>
              <w:top w:val="none" w:sz="0" w:space="0" w:color="auto"/>
              <w:left w:val="none" w:sz="0" w:space="0" w:color="auto"/>
              <w:bottom w:val="none" w:sz="0" w:space="0" w:color="auto"/>
              <w:right w:val="none" w:sz="0" w:space="0" w:color="auto"/>
            </w:tcBorders>
            <w:shd w:val="clear" w:color="auto" w:fill="AFC5DC" w:themeFill="accent3" w:themeFillTint="66"/>
            <w:vAlign w:val="center"/>
          </w:tcPr>
          <w:p w14:paraId="02DCCE4E" w14:textId="77777777" w:rsidR="00323F2E" w:rsidRPr="002B730E" w:rsidRDefault="00323F2E" w:rsidP="00323F2E">
            <w:pPr>
              <w:keepNext/>
              <w:widowControl w:val="0"/>
              <w:jc w:val="center"/>
              <w:rPr>
                <w:color w:val="auto"/>
              </w:rPr>
            </w:pPr>
            <w:r w:rsidRPr="002B730E">
              <w:rPr>
                <w:color w:val="auto"/>
              </w:rPr>
              <w:t>Total</w:t>
            </w:r>
          </w:p>
        </w:tc>
        <w:tc>
          <w:tcPr>
            <w:tcW w:w="4680" w:type="dxa"/>
            <w:tcBorders>
              <w:top w:val="none" w:sz="0" w:space="0" w:color="auto"/>
              <w:left w:val="none" w:sz="0" w:space="0" w:color="auto"/>
              <w:bottom w:val="none" w:sz="0" w:space="0" w:color="auto"/>
              <w:right w:val="none" w:sz="0" w:space="0" w:color="auto"/>
            </w:tcBorders>
            <w:shd w:val="clear" w:color="auto" w:fill="AFC5DC" w:themeFill="accent3" w:themeFillTint="66"/>
            <w:vAlign w:val="center"/>
          </w:tcPr>
          <w:p w14:paraId="6BE33D8E" w14:textId="77777777" w:rsidR="00323F2E" w:rsidRPr="002B730E" w:rsidRDefault="00323F2E" w:rsidP="00323F2E">
            <w:pPr>
              <w:keepNext/>
              <w:widowControl w:val="0"/>
              <w:jc w:val="center"/>
              <w:cnfStyle w:val="100000000000" w:firstRow="1" w:lastRow="0" w:firstColumn="0" w:lastColumn="0" w:oddVBand="0" w:evenVBand="0" w:oddHBand="0" w:evenHBand="0" w:firstRowFirstColumn="0" w:firstRowLastColumn="0" w:lastRowFirstColumn="0" w:lastRowLastColumn="0"/>
              <w:rPr>
                <w:color w:val="auto"/>
                <w:szCs w:val="24"/>
              </w:rPr>
            </w:pPr>
            <w:r w:rsidRPr="002B730E">
              <w:rPr>
                <w:color w:val="auto"/>
              </w:rPr>
              <w:t>Women Business Enterprises</w:t>
            </w:r>
          </w:p>
        </w:tc>
        <w:tc>
          <w:tcPr>
            <w:cnfStyle w:val="000100000000" w:firstRow="0" w:lastRow="0" w:firstColumn="0" w:lastColumn="1" w:oddVBand="0" w:evenVBand="0" w:oddHBand="0" w:evenHBand="0" w:firstRowFirstColumn="0" w:firstRowLastColumn="0" w:lastRowFirstColumn="0" w:lastRowLastColumn="0"/>
            <w:tcW w:w="4050" w:type="dxa"/>
            <w:tcBorders>
              <w:top w:val="none" w:sz="0" w:space="0" w:color="auto"/>
              <w:left w:val="none" w:sz="0" w:space="0" w:color="auto"/>
              <w:bottom w:val="none" w:sz="0" w:space="0" w:color="auto"/>
              <w:right w:val="none" w:sz="0" w:space="0" w:color="auto"/>
            </w:tcBorders>
            <w:shd w:val="clear" w:color="auto" w:fill="AFC5DC" w:themeFill="accent3" w:themeFillTint="66"/>
            <w:vAlign w:val="center"/>
          </w:tcPr>
          <w:p w14:paraId="07BD6BC6" w14:textId="77777777" w:rsidR="00323F2E" w:rsidRPr="002B730E" w:rsidRDefault="00323F2E" w:rsidP="00323F2E">
            <w:pPr>
              <w:keepNext/>
              <w:widowControl w:val="0"/>
              <w:jc w:val="center"/>
              <w:rPr>
                <w:color w:val="auto"/>
                <w:szCs w:val="24"/>
              </w:rPr>
            </w:pPr>
            <w:r w:rsidRPr="002B730E">
              <w:rPr>
                <w:color w:val="auto"/>
              </w:rPr>
              <w:t>Male</w:t>
            </w:r>
          </w:p>
        </w:tc>
      </w:tr>
    </w:tbl>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2"/>
        <w:gridCol w:w="3548"/>
        <w:gridCol w:w="4680"/>
        <w:gridCol w:w="4051"/>
      </w:tblGrid>
      <w:tr w:rsidR="00323F2E" w14:paraId="3B3AA849" w14:textId="77777777" w:rsidTr="00A87ACC">
        <w:trPr>
          <w:cantSplit/>
          <w:trHeight w:val="274"/>
        </w:trPr>
        <w:tc>
          <w:tcPr>
            <w:tcW w:w="14491" w:type="dxa"/>
            <w:gridSpan w:val="4"/>
            <w:shd w:val="clear" w:color="auto" w:fill="D7E2ED" w:themeFill="accent3" w:themeFillTint="33"/>
          </w:tcPr>
          <w:p w14:paraId="0594DEF9" w14:textId="77777777" w:rsidR="00A87ACC" w:rsidRDefault="00323F2E" w:rsidP="00A87ACC">
            <w:pPr>
              <w:keepNext/>
              <w:widowControl w:val="0"/>
              <w:spacing w:after="0" w:line="240" w:lineRule="auto"/>
              <w:jc w:val="center"/>
              <w:rPr>
                <w:b/>
              </w:rPr>
            </w:pPr>
            <w:r>
              <w:rPr>
                <w:b/>
              </w:rPr>
              <w:t>Contracts</w:t>
            </w:r>
          </w:p>
        </w:tc>
      </w:tr>
      <w:tr w:rsidR="00323F2E" w14:paraId="3E1F0B53" w14:textId="77777777" w:rsidTr="00935B13">
        <w:trPr>
          <w:cantSplit/>
        </w:trPr>
        <w:tc>
          <w:tcPr>
            <w:tcW w:w="2212" w:type="dxa"/>
          </w:tcPr>
          <w:p w14:paraId="5456CA57" w14:textId="77777777" w:rsidR="00323F2E" w:rsidRDefault="00323F2E" w:rsidP="00757E30">
            <w:pPr>
              <w:spacing w:beforeAutospacing="1" w:afterAutospacing="1"/>
            </w:pPr>
            <w:r>
              <w:rPr>
                <w:color w:val="000000"/>
              </w:rPr>
              <w:t>Dollar Amount</w:t>
            </w:r>
          </w:p>
        </w:tc>
        <w:tc>
          <w:tcPr>
            <w:tcW w:w="3548" w:type="dxa"/>
            <w:vAlign w:val="center"/>
          </w:tcPr>
          <w:p w14:paraId="209D52EF" w14:textId="77777777" w:rsidR="00323F2E" w:rsidRPr="002B730E" w:rsidRDefault="00C8768B" w:rsidP="00935B13">
            <w:pPr>
              <w:spacing w:beforeAutospacing="1" w:afterAutospacing="1"/>
              <w:jc w:val="right"/>
              <w:rPr>
                <w:b/>
              </w:rPr>
            </w:pPr>
            <w:r w:rsidRPr="002B730E">
              <w:rPr>
                <w:b/>
              </w:rPr>
              <w:t>8,941,064</w:t>
            </w:r>
          </w:p>
        </w:tc>
        <w:tc>
          <w:tcPr>
            <w:tcW w:w="4680" w:type="dxa"/>
            <w:vAlign w:val="center"/>
          </w:tcPr>
          <w:p w14:paraId="4E8360CF" w14:textId="77777777" w:rsidR="00323F2E" w:rsidRDefault="00C8768B" w:rsidP="00935B13">
            <w:pPr>
              <w:spacing w:before="100" w:beforeAutospacing="1" w:after="100" w:afterAutospacing="1"/>
              <w:jc w:val="right"/>
            </w:pPr>
            <w:r>
              <w:t>0</w:t>
            </w:r>
          </w:p>
        </w:tc>
        <w:tc>
          <w:tcPr>
            <w:tcW w:w="4051" w:type="dxa"/>
            <w:vAlign w:val="center"/>
          </w:tcPr>
          <w:p w14:paraId="2125B1B4" w14:textId="77777777" w:rsidR="00323F2E" w:rsidRDefault="00C8768B" w:rsidP="00935B13">
            <w:pPr>
              <w:spacing w:beforeAutospacing="1" w:afterAutospacing="1"/>
              <w:jc w:val="right"/>
            </w:pPr>
            <w:r>
              <w:t>8,941,064</w:t>
            </w:r>
          </w:p>
        </w:tc>
      </w:tr>
      <w:tr w:rsidR="00323F2E" w14:paraId="377F34BB" w14:textId="77777777" w:rsidTr="00935B13">
        <w:trPr>
          <w:cantSplit/>
        </w:trPr>
        <w:tc>
          <w:tcPr>
            <w:tcW w:w="2212" w:type="dxa"/>
          </w:tcPr>
          <w:p w14:paraId="48024D30" w14:textId="77777777" w:rsidR="00323F2E" w:rsidRDefault="00323F2E" w:rsidP="00757E30">
            <w:pPr>
              <w:spacing w:beforeAutospacing="1" w:afterAutospacing="1"/>
            </w:pPr>
            <w:r>
              <w:rPr>
                <w:color w:val="000000"/>
              </w:rPr>
              <w:t>Number</w:t>
            </w:r>
          </w:p>
        </w:tc>
        <w:tc>
          <w:tcPr>
            <w:tcW w:w="3548" w:type="dxa"/>
            <w:vAlign w:val="center"/>
          </w:tcPr>
          <w:p w14:paraId="1B5802B5" w14:textId="77777777" w:rsidR="00323F2E" w:rsidRPr="002B730E" w:rsidRDefault="00C8768B" w:rsidP="00935B13">
            <w:pPr>
              <w:spacing w:beforeAutospacing="1" w:afterAutospacing="1"/>
              <w:jc w:val="right"/>
              <w:rPr>
                <w:b/>
              </w:rPr>
            </w:pPr>
            <w:r w:rsidRPr="002B730E">
              <w:rPr>
                <w:b/>
              </w:rPr>
              <w:t>21</w:t>
            </w:r>
          </w:p>
        </w:tc>
        <w:tc>
          <w:tcPr>
            <w:tcW w:w="4680" w:type="dxa"/>
            <w:vAlign w:val="center"/>
          </w:tcPr>
          <w:p w14:paraId="1A6C8C2F" w14:textId="77777777" w:rsidR="00323F2E" w:rsidRDefault="00C8768B" w:rsidP="00935B13">
            <w:pPr>
              <w:spacing w:beforeAutospacing="1" w:afterAutospacing="1"/>
              <w:jc w:val="right"/>
            </w:pPr>
            <w:r>
              <w:t>0</w:t>
            </w:r>
          </w:p>
        </w:tc>
        <w:tc>
          <w:tcPr>
            <w:tcW w:w="4051" w:type="dxa"/>
            <w:vAlign w:val="center"/>
          </w:tcPr>
          <w:p w14:paraId="514AA3EA" w14:textId="77777777" w:rsidR="00323F2E" w:rsidRDefault="00C8768B" w:rsidP="00935B13">
            <w:pPr>
              <w:spacing w:before="100" w:beforeAutospacing="1" w:after="100" w:afterAutospacing="1"/>
              <w:jc w:val="right"/>
            </w:pPr>
            <w:r>
              <w:t>21</w:t>
            </w:r>
          </w:p>
        </w:tc>
      </w:tr>
      <w:tr w:rsidR="00323F2E" w14:paraId="4FDA91B3" w14:textId="77777777" w:rsidTr="00A87ACC">
        <w:trPr>
          <w:cantSplit/>
        </w:trPr>
        <w:tc>
          <w:tcPr>
            <w:tcW w:w="14491" w:type="dxa"/>
            <w:gridSpan w:val="4"/>
            <w:shd w:val="clear" w:color="auto" w:fill="D7E2ED" w:themeFill="accent3" w:themeFillTint="33"/>
          </w:tcPr>
          <w:p w14:paraId="2616B2EA" w14:textId="77777777" w:rsidR="00323F2E" w:rsidRPr="002B730E" w:rsidRDefault="00323F2E" w:rsidP="008734C1">
            <w:pPr>
              <w:keepNext/>
              <w:widowControl w:val="0"/>
              <w:spacing w:after="0" w:line="240" w:lineRule="auto"/>
              <w:jc w:val="center"/>
              <w:rPr>
                <w:b/>
              </w:rPr>
            </w:pPr>
            <w:r w:rsidRPr="002B730E">
              <w:rPr>
                <w:b/>
              </w:rPr>
              <w:t>Sub-Contracts</w:t>
            </w:r>
          </w:p>
        </w:tc>
      </w:tr>
      <w:tr w:rsidR="00323F2E" w14:paraId="33BE23E8" w14:textId="77777777" w:rsidTr="00935B13">
        <w:trPr>
          <w:cantSplit/>
        </w:trPr>
        <w:tc>
          <w:tcPr>
            <w:tcW w:w="2212" w:type="dxa"/>
          </w:tcPr>
          <w:p w14:paraId="0F145FF0" w14:textId="77777777" w:rsidR="00323F2E" w:rsidRDefault="00323F2E" w:rsidP="00757E30">
            <w:pPr>
              <w:spacing w:beforeAutospacing="1" w:afterAutospacing="1"/>
            </w:pPr>
            <w:r>
              <w:rPr>
                <w:color w:val="000000"/>
              </w:rPr>
              <w:t>Number</w:t>
            </w:r>
          </w:p>
        </w:tc>
        <w:tc>
          <w:tcPr>
            <w:tcW w:w="3548" w:type="dxa"/>
            <w:vAlign w:val="center"/>
          </w:tcPr>
          <w:p w14:paraId="1BB140D9" w14:textId="77777777" w:rsidR="00323F2E" w:rsidRPr="002B730E" w:rsidRDefault="00C8768B" w:rsidP="00935B13">
            <w:pPr>
              <w:spacing w:beforeAutospacing="1" w:afterAutospacing="1"/>
              <w:jc w:val="right"/>
              <w:rPr>
                <w:b/>
              </w:rPr>
            </w:pPr>
            <w:r w:rsidRPr="002B730E">
              <w:rPr>
                <w:b/>
              </w:rPr>
              <w:t>4,810,764</w:t>
            </w:r>
          </w:p>
        </w:tc>
        <w:tc>
          <w:tcPr>
            <w:tcW w:w="4680" w:type="dxa"/>
            <w:vAlign w:val="center"/>
          </w:tcPr>
          <w:p w14:paraId="7A118352" w14:textId="77777777" w:rsidR="00323F2E" w:rsidRDefault="00C8768B" w:rsidP="00935B13">
            <w:pPr>
              <w:spacing w:beforeAutospacing="1" w:afterAutospacing="1"/>
              <w:jc w:val="right"/>
            </w:pPr>
            <w:r>
              <w:t>2,364</w:t>
            </w:r>
          </w:p>
        </w:tc>
        <w:tc>
          <w:tcPr>
            <w:tcW w:w="4051" w:type="dxa"/>
            <w:vAlign w:val="center"/>
          </w:tcPr>
          <w:p w14:paraId="0CE7CD5D" w14:textId="77777777" w:rsidR="00323F2E" w:rsidRDefault="00C8768B" w:rsidP="00935B13">
            <w:pPr>
              <w:spacing w:beforeAutospacing="1" w:afterAutospacing="1"/>
              <w:jc w:val="right"/>
            </w:pPr>
            <w:r>
              <w:t>4,808,400</w:t>
            </w:r>
          </w:p>
        </w:tc>
      </w:tr>
      <w:tr w:rsidR="00323F2E" w14:paraId="7265FB7C" w14:textId="77777777" w:rsidTr="00935B13">
        <w:trPr>
          <w:cantSplit/>
        </w:trPr>
        <w:tc>
          <w:tcPr>
            <w:tcW w:w="2212" w:type="dxa"/>
          </w:tcPr>
          <w:p w14:paraId="20743AD3" w14:textId="77777777" w:rsidR="00323F2E" w:rsidRDefault="00323F2E" w:rsidP="00757E30">
            <w:pPr>
              <w:spacing w:beforeAutospacing="1" w:afterAutospacing="1"/>
            </w:pPr>
            <w:r>
              <w:rPr>
                <w:color w:val="000000"/>
              </w:rPr>
              <w:t>Dollar Amount</w:t>
            </w:r>
          </w:p>
        </w:tc>
        <w:tc>
          <w:tcPr>
            <w:tcW w:w="3548" w:type="dxa"/>
            <w:vAlign w:val="center"/>
          </w:tcPr>
          <w:p w14:paraId="26016554" w14:textId="77777777" w:rsidR="00323F2E" w:rsidRPr="002B730E" w:rsidRDefault="00C8768B" w:rsidP="00935B13">
            <w:pPr>
              <w:spacing w:beforeAutospacing="1" w:afterAutospacing="1"/>
              <w:jc w:val="right"/>
              <w:rPr>
                <w:b/>
              </w:rPr>
            </w:pPr>
            <w:r w:rsidRPr="002B730E">
              <w:rPr>
                <w:b/>
              </w:rPr>
              <w:t>23</w:t>
            </w:r>
          </w:p>
        </w:tc>
        <w:tc>
          <w:tcPr>
            <w:tcW w:w="4680" w:type="dxa"/>
            <w:vAlign w:val="center"/>
          </w:tcPr>
          <w:p w14:paraId="1E991598" w14:textId="77777777" w:rsidR="00323F2E" w:rsidRDefault="00C8768B" w:rsidP="00935B13">
            <w:pPr>
              <w:spacing w:before="100" w:beforeAutospacing="1" w:after="100" w:afterAutospacing="1"/>
              <w:jc w:val="right"/>
            </w:pPr>
            <w:r>
              <w:t>2</w:t>
            </w:r>
          </w:p>
        </w:tc>
        <w:tc>
          <w:tcPr>
            <w:tcW w:w="4051" w:type="dxa"/>
            <w:vAlign w:val="center"/>
          </w:tcPr>
          <w:p w14:paraId="71DE2608" w14:textId="77777777" w:rsidR="00323F2E" w:rsidRDefault="00C8768B" w:rsidP="00935B13">
            <w:pPr>
              <w:spacing w:beforeAutospacing="1" w:afterAutospacing="1"/>
              <w:jc w:val="right"/>
            </w:pPr>
            <w:r>
              <w:t>21</w:t>
            </w:r>
          </w:p>
        </w:tc>
      </w:tr>
    </w:tbl>
    <w:p w14:paraId="4D6DCA8B" w14:textId="77777777" w:rsidR="00074E8F" w:rsidRPr="008734C1" w:rsidRDefault="00323F2E" w:rsidP="00A87ACC">
      <w:pPr>
        <w:pStyle w:val="Caption"/>
        <w:ind w:left="1440" w:firstLine="720"/>
        <w:jc w:val="center"/>
        <w:rPr>
          <w:rFonts w:ascii="Arial" w:hAnsi="Arial" w:cs="Arial"/>
          <w:sz w:val="16"/>
        </w:rPr>
      </w:pPr>
      <w:r w:rsidRPr="00323F2E">
        <w:rPr>
          <w:rFonts w:ascii="Arial" w:hAnsi="Arial" w:cs="Arial"/>
          <w:sz w:val="16"/>
        </w:rPr>
        <w:t xml:space="preserve">Table </w:t>
      </w:r>
      <w:r w:rsidRPr="00323F2E">
        <w:rPr>
          <w:rFonts w:ascii="Arial" w:hAnsi="Arial" w:cs="Arial"/>
          <w:sz w:val="16"/>
        </w:rPr>
        <w:fldChar w:fldCharType="begin"/>
      </w:r>
      <w:r w:rsidRPr="00323F2E">
        <w:rPr>
          <w:rFonts w:ascii="Arial" w:hAnsi="Arial" w:cs="Arial"/>
          <w:sz w:val="16"/>
        </w:rPr>
        <w:instrText xml:space="preserve"> SEQ Table \* ARABIC </w:instrText>
      </w:r>
      <w:r w:rsidRPr="00323F2E">
        <w:rPr>
          <w:rFonts w:ascii="Arial" w:hAnsi="Arial" w:cs="Arial"/>
          <w:sz w:val="16"/>
        </w:rPr>
        <w:fldChar w:fldCharType="separate"/>
      </w:r>
      <w:r w:rsidR="00AA534C">
        <w:rPr>
          <w:rFonts w:ascii="Arial" w:hAnsi="Arial" w:cs="Arial"/>
          <w:noProof/>
          <w:sz w:val="16"/>
        </w:rPr>
        <w:t>7</w:t>
      </w:r>
      <w:r w:rsidRPr="00323F2E">
        <w:rPr>
          <w:rFonts w:ascii="Arial" w:hAnsi="Arial" w:cs="Arial"/>
          <w:sz w:val="16"/>
        </w:rPr>
        <w:fldChar w:fldCharType="end"/>
      </w:r>
      <w:r w:rsidRPr="00323F2E">
        <w:rPr>
          <w:rFonts w:ascii="Arial" w:hAnsi="Arial" w:cs="Arial"/>
          <w:sz w:val="16"/>
        </w:rPr>
        <w:t xml:space="preserve"> – Minority Business and Women Business Enterprises</w:t>
      </w:r>
    </w:p>
    <w:p w14:paraId="08001223" w14:textId="77777777" w:rsidR="00A87ACC" w:rsidRPr="004905D3" w:rsidRDefault="00935B13" w:rsidP="00E250BC">
      <w:pPr>
        <w:rPr>
          <w:rFonts w:cs="Arial"/>
          <w:b/>
          <w:i/>
          <w:color w:val="335375" w:themeColor="accent3" w:themeShade="BF"/>
          <w:szCs w:val="24"/>
          <w:u w:val="single"/>
        </w:rPr>
      </w:pPr>
      <w:r>
        <w:rPr>
          <w:rFonts w:cs="Arial"/>
          <w:b/>
          <w:i/>
          <w:color w:val="335375" w:themeColor="accent3" w:themeShade="BF"/>
          <w:u w:val="single"/>
        </w:rPr>
        <w:br w:type="page"/>
      </w:r>
    </w:p>
    <w:p w14:paraId="05C481D0" w14:textId="5A3A054E" w:rsidR="00662F14" w:rsidRDefault="00662F14" w:rsidP="00662F14">
      <w:pPr>
        <w:rPr>
          <w:b/>
          <w:u w:val="single"/>
        </w:rPr>
      </w:pPr>
      <w:r w:rsidRPr="00662F14">
        <w:rPr>
          <w:b/>
          <w:u w:val="single"/>
        </w:rPr>
        <w:lastRenderedPageBreak/>
        <w:t>Minority Owners of Rental Property</w:t>
      </w:r>
    </w:p>
    <w:p w14:paraId="7EEA6AE8" w14:textId="77777777" w:rsidR="00F42C8A" w:rsidRPr="00662F14" w:rsidRDefault="00F42C8A" w:rsidP="00662F14">
      <w:pPr>
        <w:rPr>
          <w:rFonts w:cs="Arial"/>
          <w:b/>
          <w:i/>
          <w:color w:val="335375" w:themeColor="accent3" w:themeShade="BF"/>
          <w:szCs w:val="24"/>
          <w:u w:val="single"/>
        </w:rPr>
      </w:pPr>
    </w:p>
    <w:tbl>
      <w:tblPr>
        <w:tblStyle w:val="GridTable4-Accent3"/>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215"/>
        <w:gridCol w:w="2288"/>
        <w:gridCol w:w="2152"/>
        <w:gridCol w:w="2206"/>
        <w:gridCol w:w="2206"/>
        <w:gridCol w:w="1825"/>
      </w:tblGrid>
      <w:tr w:rsidR="00E250BC" w14:paraId="13C86FC5" w14:textId="77777777" w:rsidTr="00074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1" w:type="dxa"/>
            <w:gridSpan w:val="7"/>
            <w:tcBorders>
              <w:top w:val="none" w:sz="0" w:space="0" w:color="auto"/>
              <w:left w:val="none" w:sz="0" w:space="0" w:color="auto"/>
              <w:bottom w:val="none" w:sz="0" w:space="0" w:color="auto"/>
              <w:right w:val="none" w:sz="0" w:space="0" w:color="auto"/>
            </w:tcBorders>
            <w:vAlign w:val="center"/>
          </w:tcPr>
          <w:p w14:paraId="58FA4225" w14:textId="77777777" w:rsidR="00E250BC" w:rsidRDefault="00E250BC" w:rsidP="00E250BC">
            <w:pPr>
              <w:keepNext/>
              <w:widowControl w:val="0"/>
              <w:jc w:val="center"/>
              <w:rPr>
                <w:b w:val="0"/>
                <w:szCs w:val="24"/>
              </w:rPr>
            </w:pPr>
            <w:r w:rsidRPr="00E250BC">
              <w:rPr>
                <w:b w:val="0"/>
                <w:i/>
              </w:rPr>
              <w:t>Indicate the number of HOME assisted rental property owners and the total amount of HOME funds in these rental properties assisted</w:t>
            </w:r>
          </w:p>
        </w:tc>
      </w:tr>
      <w:tr w:rsidR="00E250BC" w14:paraId="16A68A15" w14:textId="77777777" w:rsidTr="00662F14">
        <w:tblPrEx>
          <w:tblBorders>
            <w:top w:val="single" w:sz="4" w:space="0" w:color="87A9CB" w:themeColor="accent3" w:themeTint="99"/>
            <w:left w:val="single" w:sz="4" w:space="0" w:color="87A9CB" w:themeColor="accent3" w:themeTint="99"/>
            <w:bottom w:val="single" w:sz="4" w:space="0" w:color="87A9CB" w:themeColor="accent3" w:themeTint="99"/>
            <w:right w:val="single" w:sz="4" w:space="0" w:color="87A9CB" w:themeColor="accent3" w:themeTint="99"/>
            <w:insideH w:val="single" w:sz="4" w:space="0" w:color="87A9CB" w:themeColor="accent3" w:themeTint="99"/>
            <w:insideV w:val="single" w:sz="4" w:space="0" w:color="87A9CB" w:themeColor="accent3" w:themeTint="9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vMerge w:val="restart"/>
          </w:tcPr>
          <w:p w14:paraId="0B748261" w14:textId="77777777" w:rsidR="00E250BC" w:rsidRDefault="00E250BC" w:rsidP="00757E30">
            <w:pPr>
              <w:keepNext/>
              <w:widowControl w:val="0"/>
              <w:jc w:val="center"/>
              <w:rPr>
                <w:b w:val="0"/>
              </w:rPr>
            </w:pPr>
          </w:p>
        </w:tc>
        <w:tc>
          <w:tcPr>
            <w:cnfStyle w:val="000010000000" w:firstRow="0" w:lastRow="0" w:firstColumn="0" w:lastColumn="0" w:oddVBand="1" w:evenVBand="0" w:oddHBand="0" w:evenHBand="0" w:firstRowFirstColumn="0" w:firstRowLastColumn="0" w:lastRowFirstColumn="0" w:lastRowLastColumn="0"/>
            <w:tcW w:w="1215" w:type="dxa"/>
            <w:vMerge w:val="restart"/>
            <w:vAlign w:val="center"/>
          </w:tcPr>
          <w:p w14:paraId="0FBA845B" w14:textId="77777777" w:rsidR="00E250BC" w:rsidRPr="00662F14" w:rsidRDefault="00E250BC" w:rsidP="00662F14">
            <w:pPr>
              <w:keepNext/>
              <w:widowControl w:val="0"/>
              <w:jc w:val="center"/>
              <w:rPr>
                <w:b/>
              </w:rPr>
            </w:pPr>
            <w:r w:rsidRPr="00662F14">
              <w:rPr>
                <w:b/>
              </w:rPr>
              <w:t>Total</w:t>
            </w:r>
          </w:p>
        </w:tc>
        <w:tc>
          <w:tcPr>
            <w:tcW w:w="8852" w:type="dxa"/>
            <w:gridSpan w:val="4"/>
          </w:tcPr>
          <w:p w14:paraId="0174449F" w14:textId="77777777" w:rsidR="00E250BC" w:rsidRPr="00662F14" w:rsidRDefault="00E250BC" w:rsidP="00757E30">
            <w:pPr>
              <w:keepNext/>
              <w:widowControl w:val="0"/>
              <w:jc w:val="center"/>
              <w:cnfStyle w:val="000000100000" w:firstRow="0" w:lastRow="0" w:firstColumn="0" w:lastColumn="0" w:oddVBand="0" w:evenVBand="0" w:oddHBand="1" w:evenHBand="0" w:firstRowFirstColumn="0" w:firstRowLastColumn="0" w:lastRowFirstColumn="0" w:lastRowLastColumn="0"/>
              <w:rPr>
                <w:b/>
              </w:rPr>
            </w:pPr>
            <w:r w:rsidRPr="00662F14">
              <w:rPr>
                <w:b/>
              </w:rPr>
              <w:t>Minority Property Owners</w:t>
            </w:r>
          </w:p>
        </w:tc>
        <w:tc>
          <w:tcPr>
            <w:cnfStyle w:val="000100000000" w:firstRow="0" w:lastRow="0" w:firstColumn="0" w:lastColumn="1" w:oddVBand="0" w:evenVBand="0" w:oddHBand="0" w:evenHBand="0" w:firstRowFirstColumn="0" w:firstRowLastColumn="0" w:lastRowFirstColumn="0" w:lastRowLastColumn="0"/>
            <w:tcW w:w="1825" w:type="dxa"/>
          </w:tcPr>
          <w:p w14:paraId="647925A8" w14:textId="77777777" w:rsidR="00E250BC" w:rsidRPr="00662F14" w:rsidRDefault="00E250BC" w:rsidP="00757E30">
            <w:pPr>
              <w:keepNext/>
              <w:widowControl w:val="0"/>
              <w:jc w:val="center"/>
              <w:rPr>
                <w:b w:val="0"/>
              </w:rPr>
            </w:pPr>
          </w:p>
        </w:tc>
      </w:tr>
      <w:tr w:rsidR="00E250BC" w14:paraId="4BF3C9C7" w14:textId="77777777" w:rsidTr="00662F14">
        <w:tblPrEx>
          <w:tblBorders>
            <w:top w:val="single" w:sz="4" w:space="0" w:color="87A9CB" w:themeColor="accent3" w:themeTint="99"/>
            <w:left w:val="single" w:sz="4" w:space="0" w:color="87A9CB" w:themeColor="accent3" w:themeTint="99"/>
            <w:bottom w:val="single" w:sz="4" w:space="0" w:color="87A9CB" w:themeColor="accent3" w:themeTint="99"/>
            <w:right w:val="single" w:sz="4" w:space="0" w:color="87A9CB" w:themeColor="accent3" w:themeTint="99"/>
            <w:insideH w:val="single" w:sz="4" w:space="0" w:color="87A9CB" w:themeColor="accent3" w:themeTint="99"/>
            <w:insideV w:val="single" w:sz="4" w:space="0" w:color="87A9CB" w:themeColor="accent3" w:themeTint="99"/>
          </w:tblBorders>
        </w:tblPrEx>
        <w:tc>
          <w:tcPr>
            <w:cnfStyle w:val="001000000000" w:firstRow="0" w:lastRow="0" w:firstColumn="1" w:lastColumn="0" w:oddVBand="0" w:evenVBand="0" w:oddHBand="0" w:evenHBand="0" w:firstRowFirstColumn="0" w:firstRowLastColumn="0" w:lastRowFirstColumn="0" w:lastRowLastColumn="0"/>
            <w:tcW w:w="2239" w:type="dxa"/>
            <w:vMerge/>
          </w:tcPr>
          <w:p w14:paraId="0E0C03BA" w14:textId="77777777" w:rsidR="00E250BC" w:rsidRDefault="00E250BC" w:rsidP="00757E30">
            <w:pPr>
              <w:keepNext/>
              <w:widowControl w:val="0"/>
              <w:jc w:val="center"/>
              <w:rPr>
                <w:b w:val="0"/>
              </w:rPr>
            </w:pPr>
          </w:p>
        </w:tc>
        <w:tc>
          <w:tcPr>
            <w:cnfStyle w:val="000010000000" w:firstRow="0" w:lastRow="0" w:firstColumn="0" w:lastColumn="0" w:oddVBand="1" w:evenVBand="0" w:oddHBand="0" w:evenHBand="0" w:firstRowFirstColumn="0" w:firstRowLastColumn="0" w:lastRowFirstColumn="0" w:lastRowLastColumn="0"/>
            <w:tcW w:w="1215" w:type="dxa"/>
            <w:vMerge/>
          </w:tcPr>
          <w:p w14:paraId="7DF79D9B" w14:textId="77777777" w:rsidR="00E250BC" w:rsidRDefault="00E250BC" w:rsidP="00757E30">
            <w:pPr>
              <w:keepNext/>
              <w:widowControl w:val="0"/>
              <w:jc w:val="center"/>
              <w:rPr>
                <w:b/>
              </w:rPr>
            </w:pPr>
          </w:p>
        </w:tc>
        <w:tc>
          <w:tcPr>
            <w:tcW w:w="2288" w:type="dxa"/>
            <w:vAlign w:val="center"/>
          </w:tcPr>
          <w:p w14:paraId="1F663580" w14:textId="77777777" w:rsidR="00E250BC" w:rsidRPr="00662F14" w:rsidRDefault="00E250BC" w:rsidP="00E250BC">
            <w:pPr>
              <w:keepNext/>
              <w:widowControl w:val="0"/>
              <w:jc w:val="center"/>
              <w:cnfStyle w:val="000000000000" w:firstRow="0" w:lastRow="0" w:firstColumn="0" w:lastColumn="0" w:oddVBand="0" w:evenVBand="0" w:oddHBand="0" w:evenHBand="0" w:firstRowFirstColumn="0" w:firstRowLastColumn="0" w:lastRowFirstColumn="0" w:lastRowLastColumn="0"/>
            </w:pPr>
            <w:r w:rsidRPr="00662F14">
              <w:t>Alaskan Native or American Indian</w:t>
            </w:r>
          </w:p>
        </w:tc>
        <w:tc>
          <w:tcPr>
            <w:cnfStyle w:val="000010000000" w:firstRow="0" w:lastRow="0" w:firstColumn="0" w:lastColumn="0" w:oddVBand="1" w:evenVBand="0" w:oddHBand="0" w:evenHBand="0" w:firstRowFirstColumn="0" w:firstRowLastColumn="0" w:lastRowFirstColumn="0" w:lastRowLastColumn="0"/>
            <w:tcW w:w="2152" w:type="dxa"/>
            <w:vAlign w:val="center"/>
          </w:tcPr>
          <w:p w14:paraId="2F1F4272" w14:textId="77777777" w:rsidR="00E250BC" w:rsidRPr="00662F14" w:rsidRDefault="00E250BC" w:rsidP="00E250BC">
            <w:pPr>
              <w:keepNext/>
              <w:widowControl w:val="0"/>
              <w:ind w:right="-28"/>
              <w:jc w:val="center"/>
            </w:pPr>
            <w:r w:rsidRPr="00662F14">
              <w:t>Asian or Pacific Islander</w:t>
            </w:r>
          </w:p>
        </w:tc>
        <w:tc>
          <w:tcPr>
            <w:tcW w:w="2206" w:type="dxa"/>
            <w:vAlign w:val="center"/>
          </w:tcPr>
          <w:p w14:paraId="5D44EC2C" w14:textId="77777777" w:rsidR="00E250BC" w:rsidRPr="00662F14" w:rsidRDefault="00E250BC" w:rsidP="00E250BC">
            <w:pPr>
              <w:keepNext/>
              <w:widowControl w:val="0"/>
              <w:jc w:val="center"/>
              <w:cnfStyle w:val="000000000000" w:firstRow="0" w:lastRow="0" w:firstColumn="0" w:lastColumn="0" w:oddVBand="0" w:evenVBand="0" w:oddHBand="0" w:evenHBand="0" w:firstRowFirstColumn="0" w:firstRowLastColumn="0" w:lastRowFirstColumn="0" w:lastRowLastColumn="0"/>
            </w:pPr>
            <w:r w:rsidRPr="00662F14">
              <w:t>Black Non-Hispanic</w:t>
            </w:r>
          </w:p>
        </w:tc>
        <w:tc>
          <w:tcPr>
            <w:cnfStyle w:val="000010000000" w:firstRow="0" w:lastRow="0" w:firstColumn="0" w:lastColumn="0" w:oddVBand="1" w:evenVBand="0" w:oddHBand="0" w:evenHBand="0" w:firstRowFirstColumn="0" w:firstRowLastColumn="0" w:lastRowFirstColumn="0" w:lastRowLastColumn="0"/>
            <w:tcW w:w="2206" w:type="dxa"/>
            <w:vAlign w:val="center"/>
          </w:tcPr>
          <w:p w14:paraId="38254F3E" w14:textId="77777777" w:rsidR="00E250BC" w:rsidRPr="00662F14" w:rsidRDefault="00E250BC" w:rsidP="00E250BC">
            <w:pPr>
              <w:keepNext/>
              <w:widowControl w:val="0"/>
              <w:jc w:val="center"/>
            </w:pPr>
            <w:r w:rsidRPr="00662F14">
              <w:t>Hispanic</w:t>
            </w:r>
          </w:p>
        </w:tc>
        <w:tc>
          <w:tcPr>
            <w:cnfStyle w:val="000100000000" w:firstRow="0" w:lastRow="0" w:firstColumn="0" w:lastColumn="1" w:oddVBand="0" w:evenVBand="0" w:oddHBand="0" w:evenHBand="0" w:firstRowFirstColumn="0" w:firstRowLastColumn="0" w:lastRowFirstColumn="0" w:lastRowLastColumn="0"/>
            <w:tcW w:w="1825" w:type="dxa"/>
            <w:shd w:val="clear" w:color="auto" w:fill="D7E2ED" w:themeFill="accent3" w:themeFillTint="33"/>
          </w:tcPr>
          <w:p w14:paraId="0A5DCFA6" w14:textId="77777777" w:rsidR="00E250BC" w:rsidRPr="00662F14" w:rsidRDefault="00662F14" w:rsidP="00757E30">
            <w:pPr>
              <w:keepNext/>
              <w:widowControl w:val="0"/>
              <w:jc w:val="center"/>
            </w:pPr>
            <w:r w:rsidRPr="00662F14">
              <w:rPr>
                <w:b w:val="0"/>
              </w:rPr>
              <w:t>White Non-Hispanic</w:t>
            </w:r>
          </w:p>
        </w:tc>
      </w:tr>
      <w:tr w:rsidR="00E250BC" w14:paraId="46BB8C00" w14:textId="77777777" w:rsidTr="00935B13">
        <w:tblPrEx>
          <w:tblBorders>
            <w:top w:val="single" w:sz="4" w:space="0" w:color="87A9CB" w:themeColor="accent3" w:themeTint="99"/>
            <w:left w:val="single" w:sz="4" w:space="0" w:color="87A9CB" w:themeColor="accent3" w:themeTint="99"/>
            <w:bottom w:val="single" w:sz="4" w:space="0" w:color="87A9CB" w:themeColor="accent3" w:themeTint="99"/>
            <w:right w:val="single" w:sz="4" w:space="0" w:color="87A9CB" w:themeColor="accent3" w:themeTint="99"/>
            <w:insideH w:val="single" w:sz="4" w:space="0" w:color="87A9CB" w:themeColor="accent3" w:themeTint="99"/>
            <w:insideV w:val="single" w:sz="4" w:space="0" w:color="87A9CB" w:themeColor="accent3" w:themeTint="9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6290B327" w14:textId="77777777" w:rsidR="00E250BC" w:rsidRPr="00662F14" w:rsidRDefault="00E250BC" w:rsidP="00662F14">
            <w:pPr>
              <w:spacing w:before="100" w:beforeAutospacing="1" w:after="100" w:afterAutospacing="1"/>
              <w:rPr>
                <w:b w:val="0"/>
              </w:rPr>
            </w:pPr>
            <w:r w:rsidRPr="00662F14">
              <w:rPr>
                <w:b w:val="0"/>
                <w:color w:val="000000"/>
              </w:rPr>
              <w:t>Number</w:t>
            </w:r>
          </w:p>
        </w:tc>
        <w:tc>
          <w:tcPr>
            <w:cnfStyle w:val="000010000000" w:firstRow="0" w:lastRow="0" w:firstColumn="0" w:lastColumn="0" w:oddVBand="1" w:evenVBand="0" w:oddHBand="0" w:evenHBand="0" w:firstRowFirstColumn="0" w:firstRowLastColumn="0" w:lastRowFirstColumn="0" w:lastRowLastColumn="0"/>
            <w:tcW w:w="1215" w:type="dxa"/>
            <w:vAlign w:val="center"/>
          </w:tcPr>
          <w:p w14:paraId="6435D388" w14:textId="77777777" w:rsidR="00E250BC" w:rsidRPr="00935B13" w:rsidRDefault="001320A3" w:rsidP="00935B13">
            <w:pPr>
              <w:spacing w:before="100" w:beforeAutospacing="1" w:after="100" w:afterAutospacing="1"/>
              <w:jc w:val="right"/>
              <w:rPr>
                <w:b/>
              </w:rPr>
            </w:pPr>
            <w:r>
              <w:rPr>
                <w:b/>
              </w:rPr>
              <w:t>0</w:t>
            </w:r>
          </w:p>
        </w:tc>
        <w:tc>
          <w:tcPr>
            <w:tcW w:w="2288" w:type="dxa"/>
            <w:vAlign w:val="center"/>
          </w:tcPr>
          <w:p w14:paraId="0000E59F" w14:textId="77777777" w:rsidR="00E250BC" w:rsidRPr="00935B13" w:rsidRDefault="001320A3" w:rsidP="00935B1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2152" w:type="dxa"/>
            <w:vAlign w:val="center"/>
          </w:tcPr>
          <w:p w14:paraId="3D75B6BD" w14:textId="77777777" w:rsidR="00E250BC" w:rsidRPr="00935B13" w:rsidRDefault="001320A3" w:rsidP="00935B13">
            <w:pPr>
              <w:spacing w:before="100" w:beforeAutospacing="1" w:after="100" w:afterAutospacing="1"/>
              <w:jc w:val="right"/>
            </w:pPr>
            <w:r>
              <w:t>0</w:t>
            </w:r>
          </w:p>
        </w:tc>
        <w:tc>
          <w:tcPr>
            <w:tcW w:w="2206" w:type="dxa"/>
            <w:vAlign w:val="center"/>
          </w:tcPr>
          <w:p w14:paraId="67F0506B" w14:textId="77777777" w:rsidR="00E250BC" w:rsidRPr="00935B13" w:rsidRDefault="001320A3" w:rsidP="00935B1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2206" w:type="dxa"/>
            <w:vAlign w:val="center"/>
          </w:tcPr>
          <w:p w14:paraId="094A05BF" w14:textId="77777777" w:rsidR="00E250BC" w:rsidRPr="00935B13" w:rsidRDefault="001320A3" w:rsidP="00935B13">
            <w:pPr>
              <w:spacing w:before="100" w:beforeAutospacing="1" w:after="100" w:afterAutospacing="1"/>
              <w:jc w:val="right"/>
            </w:pPr>
            <w:r>
              <w:t>0</w:t>
            </w:r>
          </w:p>
        </w:tc>
        <w:tc>
          <w:tcPr>
            <w:cnfStyle w:val="000100000000" w:firstRow="0" w:lastRow="0" w:firstColumn="0" w:lastColumn="1" w:oddVBand="0" w:evenVBand="0" w:oddHBand="0" w:evenHBand="0" w:firstRowFirstColumn="0" w:firstRowLastColumn="0" w:lastRowFirstColumn="0" w:lastRowLastColumn="0"/>
            <w:tcW w:w="1825" w:type="dxa"/>
            <w:vAlign w:val="center"/>
          </w:tcPr>
          <w:p w14:paraId="77CB20F0" w14:textId="77777777" w:rsidR="00E250BC" w:rsidRPr="00935B13" w:rsidRDefault="001320A3" w:rsidP="00935B13">
            <w:pPr>
              <w:spacing w:before="100" w:beforeAutospacing="1" w:after="100" w:afterAutospacing="1"/>
              <w:jc w:val="right"/>
              <w:rPr>
                <w:b w:val="0"/>
              </w:rPr>
            </w:pPr>
            <w:r>
              <w:rPr>
                <w:b w:val="0"/>
              </w:rPr>
              <w:t>0</w:t>
            </w:r>
          </w:p>
        </w:tc>
      </w:tr>
      <w:tr w:rsidR="00E250BC" w14:paraId="31B5DFBB" w14:textId="77777777" w:rsidTr="00935B13">
        <w:tblPrEx>
          <w:tblBorders>
            <w:top w:val="single" w:sz="4" w:space="0" w:color="87A9CB" w:themeColor="accent3" w:themeTint="99"/>
            <w:left w:val="single" w:sz="4" w:space="0" w:color="87A9CB" w:themeColor="accent3" w:themeTint="99"/>
            <w:bottom w:val="single" w:sz="4" w:space="0" w:color="87A9CB" w:themeColor="accent3" w:themeTint="99"/>
            <w:right w:val="single" w:sz="4" w:space="0" w:color="87A9CB" w:themeColor="accent3" w:themeTint="99"/>
            <w:insideH w:val="single" w:sz="4" w:space="0" w:color="87A9CB" w:themeColor="accent3" w:themeTint="99"/>
            <w:insideV w:val="single" w:sz="4" w:space="0" w:color="87A9CB" w:themeColor="accent3" w:themeTint="99"/>
          </w:tblBorders>
        </w:tblPrEx>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14:paraId="23F6BCBC" w14:textId="77777777" w:rsidR="00E250BC" w:rsidRPr="00662F14" w:rsidRDefault="00E250BC" w:rsidP="00935B13">
            <w:pPr>
              <w:spacing w:before="100" w:beforeAutospacing="1" w:after="100" w:afterAutospacing="1"/>
              <w:rPr>
                <w:b w:val="0"/>
              </w:rPr>
            </w:pPr>
            <w:r w:rsidRPr="00662F14">
              <w:rPr>
                <w:b w:val="0"/>
                <w:color w:val="000000"/>
              </w:rPr>
              <w:t>Dollar Amount</w:t>
            </w:r>
          </w:p>
        </w:tc>
        <w:tc>
          <w:tcPr>
            <w:cnfStyle w:val="000010000000" w:firstRow="0" w:lastRow="0" w:firstColumn="0" w:lastColumn="0" w:oddVBand="1" w:evenVBand="0" w:oddHBand="0" w:evenHBand="0" w:firstRowFirstColumn="0" w:firstRowLastColumn="0" w:lastRowFirstColumn="0" w:lastRowLastColumn="0"/>
            <w:tcW w:w="1215" w:type="dxa"/>
            <w:vAlign w:val="center"/>
          </w:tcPr>
          <w:p w14:paraId="4BB33EE1" w14:textId="77777777" w:rsidR="00E250BC" w:rsidRPr="00935B13" w:rsidRDefault="001320A3" w:rsidP="00935B13">
            <w:pPr>
              <w:spacing w:before="100" w:beforeAutospacing="1" w:after="100" w:afterAutospacing="1"/>
              <w:jc w:val="right"/>
            </w:pPr>
            <w:r>
              <w:t>0</w:t>
            </w:r>
          </w:p>
        </w:tc>
        <w:tc>
          <w:tcPr>
            <w:tcW w:w="2288" w:type="dxa"/>
            <w:vAlign w:val="center"/>
          </w:tcPr>
          <w:p w14:paraId="36801BA0" w14:textId="77777777" w:rsidR="00E250BC" w:rsidRPr="00935B13" w:rsidRDefault="001320A3" w:rsidP="00935B13">
            <w:pPr>
              <w:spacing w:before="100" w:beforeAutospacing="1" w:after="100" w:afterAutospacing="1"/>
              <w:jc w:val="right"/>
              <w:cnfStyle w:val="010000000000" w:firstRow="0" w:lastRow="1" w:firstColumn="0" w:lastColumn="0" w:oddVBand="0" w:evenVBand="0" w:oddHBand="0" w:evenHBand="0" w:firstRowFirstColumn="0" w:firstRowLastColumn="0" w:lastRowFirstColumn="0" w:lastRowLastColumn="0"/>
              <w:rPr>
                <w:b w:val="0"/>
              </w:rPr>
            </w:pPr>
            <w:r>
              <w:rPr>
                <w:b w:val="0"/>
              </w:rPr>
              <w:t>0</w:t>
            </w:r>
          </w:p>
        </w:tc>
        <w:tc>
          <w:tcPr>
            <w:cnfStyle w:val="000010000000" w:firstRow="0" w:lastRow="0" w:firstColumn="0" w:lastColumn="0" w:oddVBand="1" w:evenVBand="0" w:oddHBand="0" w:evenHBand="0" w:firstRowFirstColumn="0" w:firstRowLastColumn="0" w:lastRowFirstColumn="0" w:lastRowLastColumn="0"/>
            <w:tcW w:w="2152" w:type="dxa"/>
            <w:vAlign w:val="center"/>
          </w:tcPr>
          <w:p w14:paraId="6BB09374" w14:textId="77777777" w:rsidR="00E250BC" w:rsidRPr="00935B13" w:rsidRDefault="001320A3" w:rsidP="00935B13">
            <w:pPr>
              <w:spacing w:before="100" w:beforeAutospacing="1" w:after="100" w:afterAutospacing="1"/>
              <w:jc w:val="right"/>
              <w:rPr>
                <w:b w:val="0"/>
              </w:rPr>
            </w:pPr>
            <w:r>
              <w:rPr>
                <w:b w:val="0"/>
              </w:rPr>
              <w:t>0</w:t>
            </w:r>
          </w:p>
        </w:tc>
        <w:tc>
          <w:tcPr>
            <w:tcW w:w="2206" w:type="dxa"/>
            <w:vAlign w:val="center"/>
          </w:tcPr>
          <w:p w14:paraId="7015AA2C" w14:textId="77777777" w:rsidR="00E250BC" w:rsidRPr="00935B13" w:rsidRDefault="001320A3" w:rsidP="00935B13">
            <w:pPr>
              <w:spacing w:before="100" w:beforeAutospacing="1" w:after="100" w:afterAutospacing="1"/>
              <w:jc w:val="right"/>
              <w:cnfStyle w:val="010000000000" w:firstRow="0" w:lastRow="1" w:firstColumn="0" w:lastColumn="0" w:oddVBand="0" w:evenVBand="0" w:oddHBand="0" w:evenHBand="0" w:firstRowFirstColumn="0" w:firstRowLastColumn="0" w:lastRowFirstColumn="0" w:lastRowLastColumn="0"/>
              <w:rPr>
                <w:b w:val="0"/>
              </w:rPr>
            </w:pPr>
            <w:r>
              <w:rPr>
                <w:b w:val="0"/>
              </w:rPr>
              <w:t>0</w:t>
            </w:r>
          </w:p>
        </w:tc>
        <w:tc>
          <w:tcPr>
            <w:cnfStyle w:val="000010000000" w:firstRow="0" w:lastRow="0" w:firstColumn="0" w:lastColumn="0" w:oddVBand="1" w:evenVBand="0" w:oddHBand="0" w:evenHBand="0" w:firstRowFirstColumn="0" w:firstRowLastColumn="0" w:lastRowFirstColumn="0" w:lastRowLastColumn="0"/>
            <w:tcW w:w="2206" w:type="dxa"/>
            <w:vAlign w:val="center"/>
          </w:tcPr>
          <w:p w14:paraId="0A2E3C85" w14:textId="77777777" w:rsidR="00E250BC" w:rsidRPr="00935B13" w:rsidRDefault="001320A3" w:rsidP="00935B13">
            <w:pPr>
              <w:spacing w:before="100" w:beforeAutospacing="1" w:after="100" w:afterAutospacing="1"/>
              <w:jc w:val="right"/>
              <w:rPr>
                <w:b w:val="0"/>
              </w:rPr>
            </w:pPr>
            <w:r>
              <w:rPr>
                <w:b w:val="0"/>
              </w:rPr>
              <w:t>0</w:t>
            </w:r>
          </w:p>
        </w:tc>
        <w:tc>
          <w:tcPr>
            <w:cnfStyle w:val="000100000000" w:firstRow="0" w:lastRow="0" w:firstColumn="0" w:lastColumn="1" w:oddVBand="0" w:evenVBand="0" w:oddHBand="0" w:evenHBand="0" w:firstRowFirstColumn="0" w:firstRowLastColumn="0" w:lastRowFirstColumn="0" w:lastRowLastColumn="0"/>
            <w:tcW w:w="1825" w:type="dxa"/>
            <w:vAlign w:val="center"/>
          </w:tcPr>
          <w:p w14:paraId="2AD46866" w14:textId="77777777" w:rsidR="00E250BC" w:rsidRPr="00935B13" w:rsidRDefault="001320A3" w:rsidP="00935B13">
            <w:pPr>
              <w:spacing w:before="100" w:beforeAutospacing="1" w:after="100" w:afterAutospacing="1"/>
              <w:jc w:val="right"/>
              <w:rPr>
                <w:b w:val="0"/>
              </w:rPr>
            </w:pPr>
            <w:r>
              <w:rPr>
                <w:b w:val="0"/>
              </w:rPr>
              <w:t>0</w:t>
            </w:r>
          </w:p>
        </w:tc>
      </w:tr>
    </w:tbl>
    <w:p w14:paraId="2954D822" w14:textId="77777777" w:rsidR="00DB46AC" w:rsidRDefault="00E250BC" w:rsidP="00662F14">
      <w:pPr>
        <w:pStyle w:val="Caption"/>
        <w:jc w:val="center"/>
        <w:rPr>
          <w:rFonts w:ascii="Arial" w:hAnsi="Arial" w:cs="Arial"/>
          <w:sz w:val="16"/>
        </w:rPr>
      </w:pPr>
      <w:r w:rsidRPr="00E250BC">
        <w:rPr>
          <w:rFonts w:ascii="Arial" w:hAnsi="Arial" w:cs="Arial"/>
          <w:sz w:val="16"/>
        </w:rPr>
        <w:t xml:space="preserve">Table </w:t>
      </w:r>
      <w:r w:rsidRPr="00E250BC">
        <w:rPr>
          <w:rFonts w:ascii="Arial" w:hAnsi="Arial" w:cs="Arial"/>
          <w:sz w:val="16"/>
        </w:rPr>
        <w:fldChar w:fldCharType="begin"/>
      </w:r>
      <w:r w:rsidRPr="00E250BC">
        <w:rPr>
          <w:rFonts w:ascii="Arial" w:hAnsi="Arial" w:cs="Arial"/>
          <w:sz w:val="16"/>
        </w:rPr>
        <w:instrText xml:space="preserve"> SEQ Table \* ARABIC </w:instrText>
      </w:r>
      <w:r w:rsidRPr="00E250BC">
        <w:rPr>
          <w:rFonts w:ascii="Arial" w:hAnsi="Arial" w:cs="Arial"/>
          <w:sz w:val="16"/>
        </w:rPr>
        <w:fldChar w:fldCharType="separate"/>
      </w:r>
      <w:r w:rsidR="00AA534C">
        <w:rPr>
          <w:rFonts w:ascii="Arial" w:hAnsi="Arial" w:cs="Arial"/>
          <w:noProof/>
          <w:sz w:val="16"/>
        </w:rPr>
        <w:t>8</w:t>
      </w:r>
      <w:r w:rsidRPr="00E250BC">
        <w:rPr>
          <w:rFonts w:ascii="Arial" w:hAnsi="Arial" w:cs="Arial"/>
          <w:sz w:val="16"/>
        </w:rPr>
        <w:fldChar w:fldCharType="end"/>
      </w:r>
      <w:r w:rsidRPr="00E250BC">
        <w:rPr>
          <w:rFonts w:ascii="Arial" w:hAnsi="Arial" w:cs="Arial"/>
          <w:sz w:val="16"/>
        </w:rPr>
        <w:t xml:space="preserve"> – Minority Owners of Rental Property</w:t>
      </w:r>
    </w:p>
    <w:p w14:paraId="36F469F7" w14:textId="77777777" w:rsidR="00662F14" w:rsidRPr="00662F14" w:rsidRDefault="00662F14" w:rsidP="00662F14"/>
    <w:p w14:paraId="59920BDC" w14:textId="77777777" w:rsidR="00A87ACC" w:rsidRPr="004905D3" w:rsidRDefault="00662F14">
      <w:pPr>
        <w:rPr>
          <w:rFonts w:cs="Arial"/>
          <w:b/>
          <w:i/>
          <w:color w:val="335375" w:themeColor="accent3" w:themeShade="BF"/>
          <w:u w:val="single"/>
        </w:rPr>
      </w:pPr>
      <w:r>
        <w:rPr>
          <w:rFonts w:cs="Arial"/>
          <w:b/>
          <w:i/>
          <w:color w:val="335375" w:themeColor="accent3" w:themeShade="BF"/>
          <w:u w:val="single"/>
        </w:rPr>
        <w:br w:type="page"/>
      </w:r>
    </w:p>
    <w:p w14:paraId="52DDDCAC" w14:textId="77777777" w:rsidR="00A87ACC" w:rsidRDefault="00A87ACC" w:rsidP="00A87ACC">
      <w:pPr>
        <w:rPr>
          <w:b/>
          <w:u w:val="single"/>
        </w:rPr>
      </w:pPr>
      <w:r w:rsidRPr="00A87ACC">
        <w:rPr>
          <w:b/>
          <w:u w:val="single"/>
        </w:rPr>
        <w:lastRenderedPageBreak/>
        <w:t>Relocation and Real Property Acquisition</w:t>
      </w:r>
    </w:p>
    <w:p w14:paraId="2467A5F3" w14:textId="77777777" w:rsidR="004905D3" w:rsidRPr="00A87ACC" w:rsidRDefault="004905D3" w:rsidP="00A87ACC">
      <w:pPr>
        <w:rPr>
          <w:b/>
          <w:i/>
          <w:color w:val="335375" w:themeColor="accent3" w:themeShade="BF"/>
          <w:u w:val="single"/>
        </w:rPr>
      </w:pPr>
    </w:p>
    <w:p w14:paraId="73B42700" w14:textId="71156AFC" w:rsidR="003B09E9" w:rsidRPr="00D3577E" w:rsidRDefault="00A87ACC" w:rsidP="003B09E9">
      <w:pPr>
        <w:widowControl w:val="0"/>
        <w:spacing w:after="100" w:afterAutospacing="1"/>
        <w:jc w:val="center"/>
        <w:rPr>
          <w:i/>
          <w:color w:val="FF0000"/>
        </w:rPr>
      </w:pPr>
      <w:r w:rsidRPr="004B2A96">
        <w:rPr>
          <w:b/>
          <w:i/>
        </w:rPr>
        <w:t>Please note</w:t>
      </w:r>
      <w:r w:rsidR="003B09E9" w:rsidRPr="003B09E9">
        <w:rPr>
          <w:i/>
          <w:color w:val="FF0000"/>
        </w:rPr>
        <w:t xml:space="preserve"> </w:t>
      </w:r>
      <w:r w:rsidR="003B09E9">
        <w:rPr>
          <w:i/>
          <w:color w:val="FF0000"/>
        </w:rPr>
        <w:t>the data in this</w:t>
      </w:r>
      <w:r w:rsidR="003B09E9" w:rsidRPr="00E17F11">
        <w:rPr>
          <w:i/>
          <w:color w:val="FF0000"/>
        </w:rPr>
        <w:t xml:space="preserve"> section </w:t>
      </w:r>
      <w:r w:rsidR="003B09E9">
        <w:rPr>
          <w:i/>
          <w:color w:val="FF0000"/>
        </w:rPr>
        <w:t>may change will be updated as</w:t>
      </w:r>
      <w:r w:rsidR="003B09E9" w:rsidRPr="00E17F11">
        <w:rPr>
          <w:i/>
          <w:color w:val="FF0000"/>
        </w:rPr>
        <w:t xml:space="preserve"> relevant data </w:t>
      </w:r>
      <w:r w:rsidR="003B09E9">
        <w:rPr>
          <w:i/>
          <w:color w:val="FF0000"/>
        </w:rPr>
        <w:t>becomes</w:t>
      </w:r>
      <w:r w:rsidR="003B09E9" w:rsidRPr="00E17F11">
        <w:rPr>
          <w:i/>
          <w:color w:val="FF0000"/>
        </w:rPr>
        <w:t xml:space="preserve"> available</w:t>
      </w:r>
      <w:r w:rsidR="003B09E9" w:rsidRPr="004B2A96">
        <w:rPr>
          <w:i/>
        </w:rPr>
        <w:t>.</w:t>
      </w:r>
      <w:r w:rsidR="003B09E9">
        <w:rPr>
          <w:i/>
        </w:rPr>
        <w:t xml:space="preserve">  </w:t>
      </w:r>
      <w:r w:rsidR="003B09E9" w:rsidRPr="00D3577E">
        <w:rPr>
          <w:i/>
          <w:color w:val="FF0000"/>
        </w:rPr>
        <w:t xml:space="preserve">Where data is currently not available X’s have been used to represent where data is missing.  </w:t>
      </w:r>
    </w:p>
    <w:tbl>
      <w:tblPr>
        <w:tblStyle w:val="GridTable4-Accent3"/>
        <w:tblW w:w="5000" w:type="pct"/>
        <w:tblLook w:val="01E0" w:firstRow="1" w:lastRow="1" w:firstColumn="1" w:lastColumn="1" w:noHBand="0" w:noVBand="0"/>
      </w:tblPr>
      <w:tblGrid>
        <w:gridCol w:w="2364"/>
        <w:gridCol w:w="1202"/>
        <w:gridCol w:w="2246"/>
        <w:gridCol w:w="393"/>
        <w:gridCol w:w="1709"/>
        <w:gridCol w:w="2159"/>
        <w:gridCol w:w="542"/>
        <w:gridCol w:w="1616"/>
        <w:gridCol w:w="2159"/>
      </w:tblGrid>
      <w:tr w:rsidR="001019E2" w14:paraId="662FF691" w14:textId="77777777" w:rsidTr="00C42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9"/>
            <w:vAlign w:val="center"/>
          </w:tcPr>
          <w:p w14:paraId="00B977A7" w14:textId="77777777" w:rsidR="001019E2" w:rsidRPr="001019E2" w:rsidRDefault="001019E2" w:rsidP="001019E2">
            <w:pPr>
              <w:keepNext/>
              <w:widowControl w:val="0"/>
              <w:jc w:val="center"/>
            </w:pPr>
            <w:r w:rsidRPr="001019E2">
              <w:rPr>
                <w:b w:val="0"/>
                <w:i/>
              </w:rPr>
              <w:t>Indicate the number of persons displaced, the cost of relocation payments, the number of parcels acquired, and the cost of acquisition</w:t>
            </w:r>
          </w:p>
        </w:tc>
      </w:tr>
      <w:tr w:rsidR="001019E2" w14:paraId="6E429A2F" w14:textId="77777777" w:rsidTr="00C423BD">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205" w:type="dxa"/>
            <w:gridSpan w:val="4"/>
          </w:tcPr>
          <w:p w14:paraId="5912FBA8" w14:textId="77777777" w:rsidR="001019E2" w:rsidRDefault="001019E2" w:rsidP="00757E30">
            <w:pPr>
              <w:keepNext/>
              <w:widowControl w:val="0"/>
              <w:rPr>
                <w:b w:val="0"/>
                <w:vanish/>
              </w:rPr>
            </w:pPr>
          </w:p>
        </w:tc>
        <w:tc>
          <w:tcPr>
            <w:cnfStyle w:val="000010000000" w:firstRow="0" w:lastRow="0" w:firstColumn="0" w:lastColumn="0" w:oddVBand="1" w:evenVBand="0" w:oddHBand="0" w:evenHBand="0" w:firstRowFirstColumn="0" w:firstRowLastColumn="0" w:lastRowFirstColumn="0" w:lastRowLastColumn="0"/>
            <w:tcW w:w="4410" w:type="dxa"/>
            <w:gridSpan w:val="3"/>
          </w:tcPr>
          <w:p w14:paraId="484D3F50" w14:textId="77777777" w:rsidR="001019E2" w:rsidRPr="00A87ACC" w:rsidRDefault="001019E2" w:rsidP="00757E30">
            <w:pPr>
              <w:keepNext/>
              <w:widowControl w:val="0"/>
              <w:jc w:val="center"/>
              <w:rPr>
                <w:b/>
                <w:vanish/>
              </w:rPr>
            </w:pPr>
            <w:r w:rsidRPr="00A87ACC">
              <w:rPr>
                <w:b/>
                <w:vanish/>
              </w:rPr>
              <w:t>Number</w:t>
            </w:r>
          </w:p>
        </w:tc>
        <w:tc>
          <w:tcPr>
            <w:cnfStyle w:val="000100000000" w:firstRow="0" w:lastRow="0" w:firstColumn="0" w:lastColumn="1" w:oddVBand="0" w:evenVBand="0" w:oddHBand="0" w:evenHBand="0" w:firstRowFirstColumn="0" w:firstRowLastColumn="0" w:lastRowFirstColumn="0" w:lastRowLastColumn="0"/>
            <w:tcW w:w="3775" w:type="dxa"/>
            <w:gridSpan w:val="2"/>
          </w:tcPr>
          <w:p w14:paraId="5682AD63" w14:textId="77777777" w:rsidR="001019E2" w:rsidRPr="00A87ACC" w:rsidRDefault="001019E2" w:rsidP="00757E30">
            <w:pPr>
              <w:keepNext/>
              <w:widowControl w:val="0"/>
              <w:jc w:val="center"/>
              <w:rPr>
                <w:vanish/>
              </w:rPr>
            </w:pPr>
            <w:r w:rsidRPr="00A87ACC">
              <w:rPr>
                <w:vanish/>
              </w:rPr>
              <w:t>Cost</w:t>
            </w:r>
          </w:p>
        </w:tc>
      </w:tr>
      <w:tr w:rsidR="001019E2" w14:paraId="18C0E245" w14:textId="77777777" w:rsidTr="00FE0C11">
        <w:tc>
          <w:tcPr>
            <w:cnfStyle w:val="001000000000" w:firstRow="0" w:lastRow="0" w:firstColumn="1" w:lastColumn="0" w:oddVBand="0" w:evenVBand="0" w:oddHBand="0" w:evenHBand="0" w:firstRowFirstColumn="0" w:firstRowLastColumn="0" w:lastRowFirstColumn="0" w:lastRowLastColumn="0"/>
            <w:tcW w:w="6205" w:type="dxa"/>
            <w:gridSpan w:val="4"/>
          </w:tcPr>
          <w:p w14:paraId="0C21FA82" w14:textId="77777777" w:rsidR="001019E2" w:rsidRPr="00C423BD" w:rsidRDefault="001019E2" w:rsidP="00757E30">
            <w:pPr>
              <w:spacing w:beforeAutospacing="1" w:afterAutospacing="1"/>
              <w:rPr>
                <w:b w:val="0"/>
              </w:rPr>
            </w:pPr>
            <w:r w:rsidRPr="00C423BD">
              <w:rPr>
                <w:b w:val="0"/>
                <w:color w:val="000000"/>
              </w:rPr>
              <w:t>Parcels Acquired</w:t>
            </w:r>
          </w:p>
        </w:tc>
        <w:tc>
          <w:tcPr>
            <w:cnfStyle w:val="000010000000" w:firstRow="0" w:lastRow="0" w:firstColumn="0" w:lastColumn="0" w:oddVBand="1" w:evenVBand="0" w:oddHBand="0" w:evenHBand="0" w:firstRowFirstColumn="0" w:firstRowLastColumn="0" w:lastRowFirstColumn="0" w:lastRowLastColumn="0"/>
            <w:tcW w:w="4410" w:type="dxa"/>
            <w:gridSpan w:val="3"/>
            <w:vAlign w:val="center"/>
          </w:tcPr>
          <w:p w14:paraId="0E940367" w14:textId="77777777" w:rsidR="001019E2" w:rsidRDefault="003E5602" w:rsidP="00FE0C11">
            <w:pPr>
              <w:spacing w:before="100" w:beforeAutospacing="1" w:after="100" w:afterAutospacing="1"/>
              <w:jc w:val="right"/>
            </w:pPr>
            <w:r>
              <w:t>X</w:t>
            </w:r>
          </w:p>
        </w:tc>
        <w:tc>
          <w:tcPr>
            <w:cnfStyle w:val="000100000000" w:firstRow="0" w:lastRow="0" w:firstColumn="0" w:lastColumn="1" w:oddVBand="0" w:evenVBand="0" w:oddHBand="0" w:evenHBand="0" w:firstRowFirstColumn="0" w:firstRowLastColumn="0" w:lastRowFirstColumn="0" w:lastRowLastColumn="0"/>
            <w:tcW w:w="3775" w:type="dxa"/>
            <w:gridSpan w:val="2"/>
            <w:vAlign w:val="center"/>
          </w:tcPr>
          <w:p w14:paraId="5F534668" w14:textId="77777777" w:rsidR="001019E2" w:rsidRPr="00FE0C11" w:rsidRDefault="003E5602" w:rsidP="00FE0C11">
            <w:pPr>
              <w:spacing w:before="100" w:beforeAutospacing="1" w:after="100" w:afterAutospacing="1"/>
              <w:jc w:val="right"/>
              <w:rPr>
                <w:b w:val="0"/>
              </w:rPr>
            </w:pPr>
            <w:r>
              <w:rPr>
                <w:b w:val="0"/>
              </w:rPr>
              <w:t>X</w:t>
            </w:r>
          </w:p>
        </w:tc>
      </w:tr>
      <w:tr w:rsidR="001019E2" w14:paraId="75485F62" w14:textId="77777777" w:rsidTr="00FE0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gridSpan w:val="4"/>
          </w:tcPr>
          <w:p w14:paraId="3AB5266A" w14:textId="77777777" w:rsidR="001019E2" w:rsidRPr="00C423BD" w:rsidRDefault="001019E2" w:rsidP="00757E30">
            <w:pPr>
              <w:spacing w:beforeAutospacing="1" w:afterAutospacing="1"/>
              <w:rPr>
                <w:b w:val="0"/>
              </w:rPr>
            </w:pPr>
            <w:r w:rsidRPr="00C423BD">
              <w:rPr>
                <w:b w:val="0"/>
                <w:color w:val="000000"/>
              </w:rPr>
              <w:t>Businesses Displaced</w:t>
            </w:r>
          </w:p>
        </w:tc>
        <w:tc>
          <w:tcPr>
            <w:cnfStyle w:val="000010000000" w:firstRow="0" w:lastRow="0" w:firstColumn="0" w:lastColumn="0" w:oddVBand="1" w:evenVBand="0" w:oddHBand="0" w:evenHBand="0" w:firstRowFirstColumn="0" w:firstRowLastColumn="0" w:lastRowFirstColumn="0" w:lastRowLastColumn="0"/>
            <w:tcW w:w="4410" w:type="dxa"/>
            <w:gridSpan w:val="3"/>
            <w:vAlign w:val="center"/>
          </w:tcPr>
          <w:p w14:paraId="528F96EF" w14:textId="77777777" w:rsidR="001019E2" w:rsidRDefault="003E5602" w:rsidP="00FE0C11">
            <w:pPr>
              <w:spacing w:before="100" w:beforeAutospacing="1" w:after="100" w:afterAutospacing="1"/>
              <w:jc w:val="right"/>
            </w:pPr>
            <w:r>
              <w:t>X</w:t>
            </w:r>
          </w:p>
        </w:tc>
        <w:tc>
          <w:tcPr>
            <w:cnfStyle w:val="000100000000" w:firstRow="0" w:lastRow="0" w:firstColumn="0" w:lastColumn="1" w:oddVBand="0" w:evenVBand="0" w:oddHBand="0" w:evenHBand="0" w:firstRowFirstColumn="0" w:firstRowLastColumn="0" w:lastRowFirstColumn="0" w:lastRowLastColumn="0"/>
            <w:tcW w:w="3775" w:type="dxa"/>
            <w:gridSpan w:val="2"/>
            <w:vAlign w:val="center"/>
          </w:tcPr>
          <w:p w14:paraId="699E3446" w14:textId="77777777" w:rsidR="001019E2" w:rsidRPr="00FE0C11" w:rsidRDefault="003E5602" w:rsidP="00FE0C11">
            <w:pPr>
              <w:spacing w:before="100" w:beforeAutospacing="1" w:after="100" w:afterAutospacing="1"/>
              <w:jc w:val="right"/>
              <w:rPr>
                <w:b w:val="0"/>
              </w:rPr>
            </w:pPr>
            <w:r>
              <w:rPr>
                <w:b w:val="0"/>
              </w:rPr>
              <w:t>X</w:t>
            </w:r>
          </w:p>
        </w:tc>
      </w:tr>
      <w:tr w:rsidR="001019E2" w14:paraId="6E1DD4D4" w14:textId="77777777" w:rsidTr="00FE0C11">
        <w:tc>
          <w:tcPr>
            <w:cnfStyle w:val="001000000000" w:firstRow="0" w:lastRow="0" w:firstColumn="1" w:lastColumn="0" w:oddVBand="0" w:evenVBand="0" w:oddHBand="0" w:evenHBand="0" w:firstRowFirstColumn="0" w:firstRowLastColumn="0" w:lastRowFirstColumn="0" w:lastRowLastColumn="0"/>
            <w:tcW w:w="6205" w:type="dxa"/>
            <w:gridSpan w:val="4"/>
          </w:tcPr>
          <w:p w14:paraId="74801966" w14:textId="77777777" w:rsidR="001019E2" w:rsidRPr="00C423BD" w:rsidRDefault="001019E2" w:rsidP="00757E30">
            <w:pPr>
              <w:spacing w:beforeAutospacing="1" w:afterAutospacing="1"/>
              <w:rPr>
                <w:b w:val="0"/>
              </w:rPr>
            </w:pPr>
            <w:r w:rsidRPr="00C423BD">
              <w:rPr>
                <w:b w:val="0"/>
                <w:color w:val="000000"/>
              </w:rPr>
              <w:t>Nonprofit Organizations Displaced</w:t>
            </w:r>
          </w:p>
        </w:tc>
        <w:tc>
          <w:tcPr>
            <w:cnfStyle w:val="000010000000" w:firstRow="0" w:lastRow="0" w:firstColumn="0" w:lastColumn="0" w:oddVBand="1" w:evenVBand="0" w:oddHBand="0" w:evenHBand="0" w:firstRowFirstColumn="0" w:firstRowLastColumn="0" w:lastRowFirstColumn="0" w:lastRowLastColumn="0"/>
            <w:tcW w:w="4410" w:type="dxa"/>
            <w:gridSpan w:val="3"/>
            <w:vAlign w:val="center"/>
          </w:tcPr>
          <w:p w14:paraId="715B6659" w14:textId="77777777" w:rsidR="001019E2" w:rsidRDefault="003E5602" w:rsidP="00FE0C11">
            <w:pPr>
              <w:spacing w:before="100" w:beforeAutospacing="1" w:after="100" w:afterAutospacing="1"/>
              <w:jc w:val="right"/>
            </w:pPr>
            <w:r>
              <w:t>X</w:t>
            </w:r>
          </w:p>
        </w:tc>
        <w:tc>
          <w:tcPr>
            <w:cnfStyle w:val="000100000000" w:firstRow="0" w:lastRow="0" w:firstColumn="0" w:lastColumn="1" w:oddVBand="0" w:evenVBand="0" w:oddHBand="0" w:evenHBand="0" w:firstRowFirstColumn="0" w:firstRowLastColumn="0" w:lastRowFirstColumn="0" w:lastRowLastColumn="0"/>
            <w:tcW w:w="3775" w:type="dxa"/>
            <w:gridSpan w:val="2"/>
            <w:vAlign w:val="center"/>
          </w:tcPr>
          <w:p w14:paraId="5A724DC1" w14:textId="77777777" w:rsidR="001019E2" w:rsidRPr="00FE0C11" w:rsidRDefault="003E5602" w:rsidP="00FE0C11">
            <w:pPr>
              <w:spacing w:before="100" w:beforeAutospacing="1" w:after="100" w:afterAutospacing="1"/>
              <w:jc w:val="right"/>
              <w:rPr>
                <w:b w:val="0"/>
              </w:rPr>
            </w:pPr>
            <w:r>
              <w:rPr>
                <w:b w:val="0"/>
              </w:rPr>
              <w:t>X</w:t>
            </w:r>
          </w:p>
        </w:tc>
      </w:tr>
      <w:tr w:rsidR="001019E2" w14:paraId="22F3DB6E" w14:textId="77777777" w:rsidTr="00FE0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gridSpan w:val="4"/>
          </w:tcPr>
          <w:p w14:paraId="097AC28E" w14:textId="77777777" w:rsidR="001019E2" w:rsidRPr="00C423BD" w:rsidRDefault="001019E2" w:rsidP="00757E30">
            <w:pPr>
              <w:spacing w:beforeAutospacing="1" w:afterAutospacing="1"/>
              <w:rPr>
                <w:b w:val="0"/>
              </w:rPr>
            </w:pPr>
            <w:r w:rsidRPr="00C423BD">
              <w:rPr>
                <w:b w:val="0"/>
                <w:color w:val="000000"/>
              </w:rPr>
              <w:t>Households Temporarily Relocated, not Displaced</w:t>
            </w:r>
          </w:p>
        </w:tc>
        <w:tc>
          <w:tcPr>
            <w:cnfStyle w:val="000010000000" w:firstRow="0" w:lastRow="0" w:firstColumn="0" w:lastColumn="0" w:oddVBand="1" w:evenVBand="0" w:oddHBand="0" w:evenHBand="0" w:firstRowFirstColumn="0" w:firstRowLastColumn="0" w:lastRowFirstColumn="0" w:lastRowLastColumn="0"/>
            <w:tcW w:w="4410" w:type="dxa"/>
            <w:gridSpan w:val="3"/>
            <w:vAlign w:val="center"/>
          </w:tcPr>
          <w:p w14:paraId="458666AD" w14:textId="77777777" w:rsidR="001019E2" w:rsidRDefault="003E5602" w:rsidP="00FE0C11">
            <w:pPr>
              <w:spacing w:before="100" w:beforeAutospacing="1" w:after="100" w:afterAutospacing="1"/>
              <w:jc w:val="right"/>
            </w:pPr>
            <w:r>
              <w:t>X</w:t>
            </w:r>
          </w:p>
        </w:tc>
        <w:tc>
          <w:tcPr>
            <w:cnfStyle w:val="000100000000" w:firstRow="0" w:lastRow="0" w:firstColumn="0" w:lastColumn="1" w:oddVBand="0" w:evenVBand="0" w:oddHBand="0" w:evenHBand="0" w:firstRowFirstColumn="0" w:firstRowLastColumn="0" w:lastRowFirstColumn="0" w:lastRowLastColumn="0"/>
            <w:tcW w:w="3775" w:type="dxa"/>
            <w:gridSpan w:val="2"/>
            <w:vAlign w:val="center"/>
          </w:tcPr>
          <w:p w14:paraId="501DD150" w14:textId="77777777" w:rsidR="001019E2" w:rsidRPr="00FE0C11" w:rsidRDefault="003E5602" w:rsidP="00FE0C11">
            <w:pPr>
              <w:spacing w:before="100" w:beforeAutospacing="1" w:after="100" w:afterAutospacing="1"/>
              <w:jc w:val="right"/>
              <w:rPr>
                <w:b w:val="0"/>
              </w:rPr>
            </w:pPr>
            <w:r>
              <w:rPr>
                <w:b w:val="0"/>
              </w:rPr>
              <w:t>X</w:t>
            </w:r>
          </w:p>
        </w:tc>
      </w:tr>
      <w:tr w:rsidR="00A87ACC" w14:paraId="76D16789" w14:textId="77777777" w:rsidTr="00877468">
        <w:tc>
          <w:tcPr>
            <w:cnfStyle w:val="001000000000" w:firstRow="0" w:lastRow="0" w:firstColumn="1" w:lastColumn="0" w:oddVBand="0" w:evenVBand="0" w:oddHBand="0" w:evenHBand="0" w:firstRowFirstColumn="0" w:firstRowLastColumn="0" w:lastRowFirstColumn="0" w:lastRowLastColumn="0"/>
            <w:tcW w:w="2364" w:type="dxa"/>
            <w:vMerge w:val="restart"/>
            <w:vAlign w:val="center"/>
          </w:tcPr>
          <w:p w14:paraId="0035DDFC" w14:textId="77777777" w:rsidR="00A87ACC" w:rsidRPr="001019E2" w:rsidRDefault="00A87ACC" w:rsidP="001019E2">
            <w:pPr>
              <w:keepNext/>
              <w:widowControl w:val="0"/>
              <w:jc w:val="center"/>
            </w:pPr>
            <w:r w:rsidRPr="001019E2">
              <w:t>Households Displaced</w:t>
            </w:r>
          </w:p>
        </w:tc>
        <w:tc>
          <w:tcPr>
            <w:cnfStyle w:val="000010000000" w:firstRow="0" w:lastRow="0" w:firstColumn="0" w:lastColumn="0" w:oddVBand="1" w:evenVBand="0" w:oddHBand="0" w:evenHBand="0" w:firstRowFirstColumn="0" w:firstRowLastColumn="0" w:lastRowFirstColumn="0" w:lastRowLastColumn="0"/>
            <w:tcW w:w="1202" w:type="dxa"/>
            <w:vMerge w:val="restart"/>
            <w:vAlign w:val="center"/>
          </w:tcPr>
          <w:p w14:paraId="2D91C9EA" w14:textId="77777777" w:rsidR="00A87ACC" w:rsidRPr="00A87ACC" w:rsidRDefault="00A87ACC" w:rsidP="001019E2">
            <w:pPr>
              <w:keepNext/>
              <w:widowControl w:val="0"/>
              <w:jc w:val="center"/>
              <w:rPr>
                <w:b/>
              </w:rPr>
            </w:pPr>
            <w:r w:rsidRPr="00A87ACC">
              <w:rPr>
                <w:b/>
              </w:rPr>
              <w:t>Total</w:t>
            </w:r>
          </w:p>
        </w:tc>
        <w:tc>
          <w:tcPr>
            <w:cnfStyle w:val="000100000000" w:firstRow="0" w:lastRow="0" w:firstColumn="0" w:lastColumn="1" w:oddVBand="0" w:evenVBand="0" w:oddHBand="0" w:evenHBand="0" w:firstRowFirstColumn="0" w:firstRowLastColumn="0" w:lastRowFirstColumn="0" w:lastRowLastColumn="0"/>
            <w:tcW w:w="10824" w:type="dxa"/>
            <w:gridSpan w:val="7"/>
            <w:vAlign w:val="center"/>
          </w:tcPr>
          <w:p w14:paraId="4CFBE6C8" w14:textId="77777777" w:rsidR="00A87ACC" w:rsidRPr="001019E2" w:rsidRDefault="00A87ACC" w:rsidP="00757E30">
            <w:pPr>
              <w:keepNext/>
              <w:widowControl w:val="0"/>
              <w:jc w:val="center"/>
            </w:pPr>
            <w:r w:rsidRPr="001019E2">
              <w:t>Minority Property Enterprises</w:t>
            </w:r>
          </w:p>
        </w:tc>
      </w:tr>
      <w:tr w:rsidR="001019E2" w14:paraId="33B34D92" w14:textId="77777777" w:rsidTr="00A87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vMerge/>
            <w:vAlign w:val="center"/>
          </w:tcPr>
          <w:p w14:paraId="5A7DEDA7" w14:textId="77777777" w:rsidR="001019E2" w:rsidRDefault="001019E2" w:rsidP="001019E2">
            <w:pPr>
              <w:keepNext/>
              <w:widowControl w:val="0"/>
              <w:jc w:val="center"/>
              <w:rPr>
                <w:b w:val="0"/>
              </w:rPr>
            </w:pPr>
          </w:p>
        </w:tc>
        <w:tc>
          <w:tcPr>
            <w:cnfStyle w:val="000010000000" w:firstRow="0" w:lastRow="0" w:firstColumn="0" w:lastColumn="0" w:oddVBand="1" w:evenVBand="0" w:oddHBand="0" w:evenHBand="0" w:firstRowFirstColumn="0" w:firstRowLastColumn="0" w:lastRowFirstColumn="0" w:lastRowLastColumn="0"/>
            <w:tcW w:w="1202" w:type="dxa"/>
            <w:vMerge/>
            <w:vAlign w:val="center"/>
          </w:tcPr>
          <w:p w14:paraId="2C12F550" w14:textId="77777777" w:rsidR="001019E2" w:rsidRDefault="001019E2" w:rsidP="001019E2">
            <w:pPr>
              <w:keepNext/>
              <w:widowControl w:val="0"/>
              <w:jc w:val="center"/>
              <w:rPr>
                <w:b/>
              </w:rPr>
            </w:pPr>
          </w:p>
        </w:tc>
        <w:tc>
          <w:tcPr>
            <w:tcW w:w="2246" w:type="dxa"/>
            <w:vAlign w:val="center"/>
          </w:tcPr>
          <w:p w14:paraId="6E59C923" w14:textId="77777777" w:rsidR="001019E2" w:rsidRPr="00A87ACC" w:rsidRDefault="001019E2" w:rsidP="001019E2">
            <w:pPr>
              <w:keepNext/>
              <w:widowControl w:val="0"/>
              <w:jc w:val="center"/>
              <w:cnfStyle w:val="000000100000" w:firstRow="0" w:lastRow="0" w:firstColumn="0" w:lastColumn="0" w:oddVBand="0" w:evenVBand="0" w:oddHBand="1" w:evenHBand="0" w:firstRowFirstColumn="0" w:firstRowLastColumn="0" w:lastRowFirstColumn="0" w:lastRowLastColumn="0"/>
            </w:pPr>
            <w:r w:rsidRPr="00A87ACC">
              <w:t>Alaskan Native or American Indian</w:t>
            </w:r>
          </w:p>
        </w:tc>
        <w:tc>
          <w:tcPr>
            <w:cnfStyle w:val="000010000000" w:firstRow="0" w:lastRow="0" w:firstColumn="0" w:lastColumn="0" w:oddVBand="1" w:evenVBand="0" w:oddHBand="0" w:evenHBand="0" w:firstRowFirstColumn="0" w:firstRowLastColumn="0" w:lastRowFirstColumn="0" w:lastRowLastColumn="0"/>
            <w:tcW w:w="2102" w:type="dxa"/>
            <w:gridSpan w:val="2"/>
            <w:vAlign w:val="center"/>
          </w:tcPr>
          <w:p w14:paraId="05864412" w14:textId="77777777" w:rsidR="001019E2" w:rsidRPr="00A87ACC" w:rsidRDefault="001019E2" w:rsidP="001019E2">
            <w:pPr>
              <w:keepNext/>
              <w:widowControl w:val="0"/>
              <w:ind w:right="-28"/>
              <w:jc w:val="center"/>
            </w:pPr>
            <w:r w:rsidRPr="00A87ACC">
              <w:t>Asian or Pacific Islander</w:t>
            </w:r>
          </w:p>
        </w:tc>
        <w:tc>
          <w:tcPr>
            <w:tcW w:w="2159" w:type="dxa"/>
            <w:vAlign w:val="center"/>
          </w:tcPr>
          <w:p w14:paraId="0AEE1FDD" w14:textId="77777777" w:rsidR="001019E2" w:rsidRPr="00A87ACC" w:rsidRDefault="001019E2" w:rsidP="001019E2">
            <w:pPr>
              <w:keepNext/>
              <w:widowControl w:val="0"/>
              <w:jc w:val="center"/>
              <w:cnfStyle w:val="000000100000" w:firstRow="0" w:lastRow="0" w:firstColumn="0" w:lastColumn="0" w:oddVBand="0" w:evenVBand="0" w:oddHBand="1" w:evenHBand="0" w:firstRowFirstColumn="0" w:firstRowLastColumn="0" w:lastRowFirstColumn="0" w:lastRowLastColumn="0"/>
            </w:pPr>
            <w:r w:rsidRPr="00A87ACC">
              <w:t>Black Non-Hispanic</w:t>
            </w:r>
          </w:p>
        </w:tc>
        <w:tc>
          <w:tcPr>
            <w:cnfStyle w:val="000010000000" w:firstRow="0" w:lastRow="0" w:firstColumn="0" w:lastColumn="0" w:oddVBand="1" w:evenVBand="0" w:oddHBand="0" w:evenHBand="0" w:firstRowFirstColumn="0" w:firstRowLastColumn="0" w:lastRowFirstColumn="0" w:lastRowLastColumn="0"/>
            <w:tcW w:w="2158" w:type="dxa"/>
            <w:gridSpan w:val="2"/>
            <w:vAlign w:val="center"/>
          </w:tcPr>
          <w:p w14:paraId="6C491309" w14:textId="77777777" w:rsidR="001019E2" w:rsidRPr="00A87ACC" w:rsidRDefault="001019E2" w:rsidP="001019E2">
            <w:pPr>
              <w:keepNext/>
              <w:widowControl w:val="0"/>
              <w:jc w:val="center"/>
            </w:pPr>
            <w:r w:rsidRPr="00A87ACC">
              <w:t>Hispanic</w:t>
            </w:r>
          </w:p>
        </w:tc>
        <w:tc>
          <w:tcPr>
            <w:cnfStyle w:val="000100000000" w:firstRow="0" w:lastRow="0" w:firstColumn="0" w:lastColumn="1" w:oddVBand="0" w:evenVBand="0" w:oddHBand="0" w:evenHBand="0" w:firstRowFirstColumn="0" w:firstRowLastColumn="0" w:lastRowFirstColumn="0" w:lastRowLastColumn="0"/>
            <w:tcW w:w="2159" w:type="dxa"/>
          </w:tcPr>
          <w:p w14:paraId="4A6C317C" w14:textId="77777777" w:rsidR="001019E2" w:rsidRPr="00A87ACC" w:rsidRDefault="00A87ACC" w:rsidP="00757E30">
            <w:pPr>
              <w:keepNext/>
              <w:widowControl w:val="0"/>
              <w:jc w:val="center"/>
              <w:rPr>
                <w:b w:val="0"/>
              </w:rPr>
            </w:pPr>
            <w:r w:rsidRPr="00A87ACC">
              <w:rPr>
                <w:b w:val="0"/>
              </w:rPr>
              <w:t>White Non-Hispanic</w:t>
            </w:r>
          </w:p>
        </w:tc>
      </w:tr>
      <w:tr w:rsidR="001019E2" w14:paraId="2BF3F9AA" w14:textId="77777777" w:rsidTr="00FE0C11">
        <w:trPr>
          <w:trHeight w:val="179"/>
        </w:trPr>
        <w:tc>
          <w:tcPr>
            <w:cnfStyle w:val="001000000000" w:firstRow="0" w:lastRow="0" w:firstColumn="1" w:lastColumn="0" w:oddVBand="0" w:evenVBand="0" w:oddHBand="0" w:evenHBand="0" w:firstRowFirstColumn="0" w:firstRowLastColumn="0" w:lastRowFirstColumn="0" w:lastRowLastColumn="0"/>
            <w:tcW w:w="2364" w:type="dxa"/>
          </w:tcPr>
          <w:p w14:paraId="00B3A69F" w14:textId="77777777" w:rsidR="001019E2" w:rsidRPr="00C423BD" w:rsidRDefault="001019E2" w:rsidP="00757E30">
            <w:pPr>
              <w:spacing w:beforeAutospacing="1" w:afterAutospacing="1"/>
              <w:rPr>
                <w:b w:val="0"/>
              </w:rPr>
            </w:pPr>
            <w:r w:rsidRPr="00C423BD">
              <w:rPr>
                <w:b w:val="0"/>
                <w:color w:val="000000"/>
              </w:rPr>
              <w:t>Number</w:t>
            </w:r>
          </w:p>
        </w:tc>
        <w:tc>
          <w:tcPr>
            <w:cnfStyle w:val="000010000000" w:firstRow="0" w:lastRow="0" w:firstColumn="0" w:lastColumn="0" w:oddVBand="1" w:evenVBand="0" w:oddHBand="0" w:evenHBand="0" w:firstRowFirstColumn="0" w:firstRowLastColumn="0" w:lastRowFirstColumn="0" w:lastRowLastColumn="0"/>
            <w:tcW w:w="1202" w:type="dxa"/>
            <w:vAlign w:val="center"/>
          </w:tcPr>
          <w:p w14:paraId="070BC74E" w14:textId="77777777" w:rsidR="001019E2" w:rsidRPr="00FE0C11" w:rsidRDefault="003E5602" w:rsidP="00FE0C11">
            <w:pPr>
              <w:spacing w:before="100" w:beforeAutospacing="1" w:after="100" w:afterAutospacing="1"/>
              <w:jc w:val="right"/>
              <w:rPr>
                <w:b/>
              </w:rPr>
            </w:pPr>
            <w:r>
              <w:rPr>
                <w:b/>
              </w:rPr>
              <w:t>X</w:t>
            </w:r>
          </w:p>
        </w:tc>
        <w:tc>
          <w:tcPr>
            <w:tcW w:w="2246" w:type="dxa"/>
            <w:vAlign w:val="center"/>
          </w:tcPr>
          <w:p w14:paraId="69E9AEE3" w14:textId="77777777" w:rsidR="001019E2" w:rsidRPr="00FE0C11" w:rsidRDefault="003E5602" w:rsidP="00FE0C11">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X</w:t>
            </w:r>
          </w:p>
        </w:tc>
        <w:tc>
          <w:tcPr>
            <w:cnfStyle w:val="000010000000" w:firstRow="0" w:lastRow="0" w:firstColumn="0" w:lastColumn="0" w:oddVBand="1" w:evenVBand="0" w:oddHBand="0" w:evenHBand="0" w:firstRowFirstColumn="0" w:firstRowLastColumn="0" w:lastRowFirstColumn="0" w:lastRowLastColumn="0"/>
            <w:tcW w:w="2102" w:type="dxa"/>
            <w:gridSpan w:val="2"/>
            <w:vAlign w:val="center"/>
          </w:tcPr>
          <w:p w14:paraId="44E71E9B" w14:textId="77777777" w:rsidR="001019E2" w:rsidRPr="00FE0C11" w:rsidRDefault="003E5602" w:rsidP="00FE0C11">
            <w:pPr>
              <w:spacing w:before="100" w:beforeAutospacing="1" w:after="100" w:afterAutospacing="1"/>
              <w:jc w:val="right"/>
            </w:pPr>
            <w:r>
              <w:t>X</w:t>
            </w:r>
          </w:p>
        </w:tc>
        <w:tc>
          <w:tcPr>
            <w:tcW w:w="2159" w:type="dxa"/>
            <w:vAlign w:val="center"/>
          </w:tcPr>
          <w:p w14:paraId="718E0443" w14:textId="77777777" w:rsidR="001019E2" w:rsidRPr="00FE0C11" w:rsidRDefault="003E5602" w:rsidP="00FE0C11">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X</w:t>
            </w:r>
          </w:p>
        </w:tc>
        <w:tc>
          <w:tcPr>
            <w:cnfStyle w:val="000010000000" w:firstRow="0" w:lastRow="0" w:firstColumn="0" w:lastColumn="0" w:oddVBand="1" w:evenVBand="0" w:oddHBand="0" w:evenHBand="0" w:firstRowFirstColumn="0" w:firstRowLastColumn="0" w:lastRowFirstColumn="0" w:lastRowLastColumn="0"/>
            <w:tcW w:w="2158" w:type="dxa"/>
            <w:gridSpan w:val="2"/>
            <w:vAlign w:val="center"/>
          </w:tcPr>
          <w:p w14:paraId="70466404" w14:textId="77777777" w:rsidR="001019E2" w:rsidRPr="00FE0C11" w:rsidRDefault="003E5602" w:rsidP="00FE0C11">
            <w:pPr>
              <w:spacing w:before="100" w:beforeAutospacing="1" w:after="100" w:afterAutospacing="1"/>
              <w:jc w:val="right"/>
            </w:pPr>
            <w:r>
              <w:t>X</w:t>
            </w:r>
          </w:p>
        </w:tc>
        <w:tc>
          <w:tcPr>
            <w:cnfStyle w:val="000100000000" w:firstRow="0" w:lastRow="0" w:firstColumn="0" w:lastColumn="1" w:oddVBand="0" w:evenVBand="0" w:oddHBand="0" w:evenHBand="0" w:firstRowFirstColumn="0" w:firstRowLastColumn="0" w:lastRowFirstColumn="0" w:lastRowLastColumn="0"/>
            <w:tcW w:w="2159" w:type="dxa"/>
            <w:vAlign w:val="center"/>
          </w:tcPr>
          <w:p w14:paraId="5777DA06" w14:textId="77777777" w:rsidR="001019E2" w:rsidRPr="00FE0C11" w:rsidRDefault="003E5602" w:rsidP="00FE0C11">
            <w:pPr>
              <w:spacing w:before="100" w:beforeAutospacing="1" w:after="100" w:afterAutospacing="1"/>
              <w:jc w:val="right"/>
              <w:rPr>
                <w:b w:val="0"/>
              </w:rPr>
            </w:pPr>
            <w:r>
              <w:rPr>
                <w:b w:val="0"/>
              </w:rPr>
              <w:t>X</w:t>
            </w:r>
          </w:p>
        </w:tc>
      </w:tr>
      <w:tr w:rsidR="001019E2" w14:paraId="5A6AC119" w14:textId="77777777" w:rsidTr="00FE0C1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tcPr>
          <w:p w14:paraId="49BDAE4C" w14:textId="77777777" w:rsidR="001019E2" w:rsidRPr="00C423BD" w:rsidRDefault="001019E2" w:rsidP="00757E30">
            <w:pPr>
              <w:spacing w:beforeAutospacing="1" w:afterAutospacing="1"/>
              <w:rPr>
                <w:b w:val="0"/>
              </w:rPr>
            </w:pPr>
            <w:r w:rsidRPr="00C423BD">
              <w:rPr>
                <w:b w:val="0"/>
                <w:color w:val="000000"/>
              </w:rPr>
              <w:t>Cost</w:t>
            </w:r>
          </w:p>
        </w:tc>
        <w:tc>
          <w:tcPr>
            <w:cnfStyle w:val="000010000000" w:firstRow="0" w:lastRow="0" w:firstColumn="0" w:lastColumn="0" w:oddVBand="1" w:evenVBand="0" w:oddHBand="0" w:evenHBand="0" w:firstRowFirstColumn="0" w:firstRowLastColumn="0" w:lastRowFirstColumn="0" w:lastRowLastColumn="0"/>
            <w:tcW w:w="1202" w:type="dxa"/>
            <w:vAlign w:val="center"/>
          </w:tcPr>
          <w:p w14:paraId="0CD474A7" w14:textId="77777777" w:rsidR="001019E2" w:rsidRPr="00FE0C11" w:rsidRDefault="003E5602" w:rsidP="00FE0C11">
            <w:pPr>
              <w:spacing w:before="100" w:beforeAutospacing="1" w:after="100" w:afterAutospacing="1"/>
              <w:jc w:val="right"/>
            </w:pPr>
            <w:r>
              <w:t>X</w:t>
            </w:r>
          </w:p>
        </w:tc>
        <w:tc>
          <w:tcPr>
            <w:tcW w:w="2246" w:type="dxa"/>
            <w:vAlign w:val="center"/>
          </w:tcPr>
          <w:p w14:paraId="4D8BD261" w14:textId="77777777" w:rsidR="001019E2" w:rsidRPr="00FE0C11" w:rsidRDefault="003E5602" w:rsidP="00FE0C11">
            <w:pPr>
              <w:spacing w:before="100" w:beforeAutospacing="1" w:after="100" w:afterAutospacing="1"/>
              <w:jc w:val="right"/>
              <w:cnfStyle w:val="010000000000" w:firstRow="0" w:lastRow="1" w:firstColumn="0" w:lastColumn="0" w:oddVBand="0" w:evenVBand="0" w:oddHBand="0" w:evenHBand="0" w:firstRowFirstColumn="0" w:firstRowLastColumn="0" w:lastRowFirstColumn="0" w:lastRowLastColumn="0"/>
              <w:rPr>
                <w:b w:val="0"/>
              </w:rPr>
            </w:pPr>
            <w:r>
              <w:rPr>
                <w:b w:val="0"/>
              </w:rPr>
              <w:t>X</w:t>
            </w:r>
          </w:p>
        </w:tc>
        <w:tc>
          <w:tcPr>
            <w:cnfStyle w:val="000010000000" w:firstRow="0" w:lastRow="0" w:firstColumn="0" w:lastColumn="0" w:oddVBand="1" w:evenVBand="0" w:oddHBand="0" w:evenHBand="0" w:firstRowFirstColumn="0" w:firstRowLastColumn="0" w:lastRowFirstColumn="0" w:lastRowLastColumn="0"/>
            <w:tcW w:w="2102" w:type="dxa"/>
            <w:gridSpan w:val="2"/>
            <w:vAlign w:val="center"/>
          </w:tcPr>
          <w:p w14:paraId="0812B76C" w14:textId="77777777" w:rsidR="001019E2" w:rsidRPr="00FE0C11" w:rsidRDefault="003E5602" w:rsidP="00FE0C11">
            <w:pPr>
              <w:spacing w:before="100" w:beforeAutospacing="1" w:after="100" w:afterAutospacing="1"/>
              <w:jc w:val="right"/>
              <w:rPr>
                <w:b w:val="0"/>
              </w:rPr>
            </w:pPr>
            <w:r>
              <w:rPr>
                <w:b w:val="0"/>
              </w:rPr>
              <w:t>X</w:t>
            </w:r>
          </w:p>
        </w:tc>
        <w:tc>
          <w:tcPr>
            <w:tcW w:w="2159" w:type="dxa"/>
            <w:vAlign w:val="center"/>
          </w:tcPr>
          <w:p w14:paraId="51135817" w14:textId="77777777" w:rsidR="001019E2" w:rsidRPr="00FE0C11" w:rsidRDefault="003E5602" w:rsidP="00FE0C11">
            <w:pPr>
              <w:spacing w:before="100" w:beforeAutospacing="1" w:after="100" w:afterAutospacing="1"/>
              <w:jc w:val="right"/>
              <w:cnfStyle w:val="010000000000" w:firstRow="0" w:lastRow="1" w:firstColumn="0" w:lastColumn="0" w:oddVBand="0" w:evenVBand="0" w:oddHBand="0" w:evenHBand="0" w:firstRowFirstColumn="0" w:firstRowLastColumn="0" w:lastRowFirstColumn="0" w:lastRowLastColumn="0"/>
              <w:rPr>
                <w:b w:val="0"/>
              </w:rPr>
            </w:pPr>
            <w:r>
              <w:rPr>
                <w:b w:val="0"/>
              </w:rPr>
              <w:t>X</w:t>
            </w:r>
          </w:p>
        </w:tc>
        <w:tc>
          <w:tcPr>
            <w:cnfStyle w:val="000010000000" w:firstRow="0" w:lastRow="0" w:firstColumn="0" w:lastColumn="0" w:oddVBand="1" w:evenVBand="0" w:oddHBand="0" w:evenHBand="0" w:firstRowFirstColumn="0" w:firstRowLastColumn="0" w:lastRowFirstColumn="0" w:lastRowLastColumn="0"/>
            <w:tcW w:w="2158" w:type="dxa"/>
            <w:gridSpan w:val="2"/>
            <w:vAlign w:val="center"/>
          </w:tcPr>
          <w:p w14:paraId="6E274A7C" w14:textId="77777777" w:rsidR="001019E2" w:rsidRPr="00FE0C11" w:rsidRDefault="003E5602" w:rsidP="00FE0C11">
            <w:pPr>
              <w:spacing w:before="100" w:beforeAutospacing="1" w:after="100" w:afterAutospacing="1"/>
              <w:jc w:val="right"/>
              <w:rPr>
                <w:b w:val="0"/>
              </w:rPr>
            </w:pPr>
            <w:r>
              <w:rPr>
                <w:b w:val="0"/>
              </w:rPr>
              <w:t>X</w:t>
            </w:r>
          </w:p>
        </w:tc>
        <w:tc>
          <w:tcPr>
            <w:cnfStyle w:val="000100000000" w:firstRow="0" w:lastRow="0" w:firstColumn="0" w:lastColumn="1" w:oddVBand="0" w:evenVBand="0" w:oddHBand="0" w:evenHBand="0" w:firstRowFirstColumn="0" w:firstRowLastColumn="0" w:lastRowFirstColumn="0" w:lastRowLastColumn="0"/>
            <w:tcW w:w="2159" w:type="dxa"/>
            <w:vAlign w:val="center"/>
          </w:tcPr>
          <w:p w14:paraId="746178F8" w14:textId="77777777" w:rsidR="001019E2" w:rsidRPr="00FE0C11" w:rsidRDefault="003E5602" w:rsidP="00FE0C11">
            <w:pPr>
              <w:spacing w:before="100" w:beforeAutospacing="1" w:after="100" w:afterAutospacing="1"/>
              <w:jc w:val="right"/>
              <w:rPr>
                <w:b w:val="0"/>
              </w:rPr>
            </w:pPr>
            <w:r>
              <w:rPr>
                <w:b w:val="0"/>
              </w:rPr>
              <w:t>X</w:t>
            </w:r>
          </w:p>
        </w:tc>
      </w:tr>
    </w:tbl>
    <w:p w14:paraId="4C7EB16D" w14:textId="77777777" w:rsidR="00C423BD" w:rsidRDefault="00C423BD" w:rsidP="00C423BD">
      <w:pPr>
        <w:jc w:val="center"/>
        <w:rPr>
          <w:rFonts w:cs="Arial"/>
          <w:b/>
          <w:sz w:val="16"/>
          <w:szCs w:val="24"/>
        </w:rPr>
      </w:pPr>
      <w:r w:rsidRPr="00C423BD">
        <w:rPr>
          <w:rFonts w:cs="Arial"/>
          <w:b/>
          <w:sz w:val="16"/>
          <w:szCs w:val="24"/>
        </w:rPr>
        <w:t>Table 9 – Relocation and Real Property Acquisition</w:t>
      </w:r>
    </w:p>
    <w:p w14:paraId="3369782B" w14:textId="77777777" w:rsidR="008734C1" w:rsidRPr="00C423BD" w:rsidRDefault="008734C1" w:rsidP="00C423BD">
      <w:pPr>
        <w:jc w:val="center"/>
        <w:rPr>
          <w:rFonts w:cs="Arial"/>
          <w:b/>
          <w:sz w:val="16"/>
          <w:szCs w:val="24"/>
        </w:rPr>
      </w:pPr>
    </w:p>
    <w:p w14:paraId="7033CDBA" w14:textId="77777777" w:rsidR="00C423BD" w:rsidRDefault="00C423BD">
      <w:pPr>
        <w:rPr>
          <w:b/>
          <w:bCs/>
          <w:color w:val="335375" w:themeColor="accent3" w:themeShade="BF"/>
          <w:sz w:val="28"/>
          <w:u w:val="single"/>
        </w:rPr>
      </w:pPr>
      <w:r>
        <w:rPr>
          <w:b/>
          <w:bCs/>
          <w:color w:val="335375" w:themeColor="accent3" w:themeShade="BF"/>
          <w:sz w:val="28"/>
          <w:u w:val="single"/>
        </w:rPr>
        <w:br w:type="page"/>
      </w:r>
    </w:p>
    <w:p w14:paraId="0E685D0C" w14:textId="77777777" w:rsidR="00D961C6" w:rsidRPr="00936F6D" w:rsidRDefault="00D961C6" w:rsidP="00D961C6">
      <w:pPr>
        <w:jc w:val="center"/>
        <w:rPr>
          <w:color w:val="335375" w:themeColor="accent3" w:themeShade="BF"/>
          <w:sz w:val="28"/>
          <w:u w:val="single"/>
        </w:rPr>
      </w:pPr>
      <w:r w:rsidRPr="00936F6D">
        <w:rPr>
          <w:b/>
          <w:bCs/>
          <w:color w:val="335375" w:themeColor="accent3" w:themeShade="BF"/>
          <w:sz w:val="28"/>
          <w:u w:val="single"/>
        </w:rPr>
        <w:lastRenderedPageBreak/>
        <w:t>CR-20 Affordable Housing</w:t>
      </w:r>
    </w:p>
    <w:p w14:paraId="54C64E3B" w14:textId="77777777" w:rsidR="0091692E" w:rsidRPr="00936F6D" w:rsidRDefault="00D961C6" w:rsidP="00D961C6">
      <w:pPr>
        <w:rPr>
          <w:i/>
          <w:color w:val="87A9CB" w:themeColor="accent3" w:themeTint="99"/>
          <w:sz w:val="22"/>
        </w:rPr>
      </w:pPr>
      <w:r w:rsidRPr="00936F6D">
        <w:rPr>
          <w:i/>
          <w:color w:val="87A9CB" w:themeColor="accent3" w:themeTint="99"/>
          <w:sz w:val="22"/>
        </w:rPr>
        <w:t>Regulation Citation(s): 24 CFR 91.520(b)</w:t>
      </w:r>
    </w:p>
    <w:p w14:paraId="56B4021A" w14:textId="77777777" w:rsidR="004905D3" w:rsidRDefault="004905D3" w:rsidP="004905D3">
      <w:pPr>
        <w:keepNext/>
        <w:widowControl w:val="0"/>
        <w:spacing w:after="0" w:line="240" w:lineRule="auto"/>
        <w:rPr>
          <w:b/>
          <w:szCs w:val="24"/>
        </w:rPr>
      </w:pPr>
    </w:p>
    <w:p w14:paraId="52C18306" w14:textId="77777777" w:rsidR="004905D3" w:rsidRDefault="004905D3" w:rsidP="004905D3">
      <w:pPr>
        <w:keepNext/>
        <w:widowControl w:val="0"/>
        <w:spacing w:after="0" w:line="240" w:lineRule="auto"/>
        <w:rPr>
          <w:b/>
          <w:szCs w:val="24"/>
          <w:u w:val="single"/>
        </w:rPr>
      </w:pPr>
      <w:r w:rsidRPr="004905D3">
        <w:rPr>
          <w:b/>
          <w:szCs w:val="24"/>
          <w:u w:val="single"/>
        </w:rPr>
        <w:t>Evaluation of the jurisdiction's progress in providing affordable housing, including the number and types of families served, the number of extremely low-income, low-income, moderate-income, and middle-income persons served.</w:t>
      </w:r>
    </w:p>
    <w:p w14:paraId="64CC6661" w14:textId="77777777" w:rsidR="004905D3" w:rsidRPr="004905D3" w:rsidRDefault="004905D3" w:rsidP="004905D3">
      <w:pPr>
        <w:keepNext/>
        <w:widowControl w:val="0"/>
        <w:spacing w:after="0" w:line="240" w:lineRule="auto"/>
        <w:rPr>
          <w:b/>
          <w:szCs w:val="24"/>
          <w:u w:val="single"/>
        </w:rPr>
      </w:pPr>
      <w:bookmarkStart w:id="3" w:name="_Hlk492417897"/>
    </w:p>
    <w:p w14:paraId="52ADA02C" w14:textId="77777777" w:rsidR="003B09E9" w:rsidRPr="00D3577E" w:rsidRDefault="003B09E9" w:rsidP="003B09E9">
      <w:pPr>
        <w:widowControl w:val="0"/>
        <w:spacing w:after="100" w:afterAutospacing="1"/>
        <w:jc w:val="center"/>
        <w:rPr>
          <w:i/>
          <w:color w:val="FF0000"/>
        </w:rPr>
      </w:pPr>
      <w:r>
        <w:rPr>
          <w:b/>
          <w:i/>
        </w:rPr>
        <w:t>P</w:t>
      </w:r>
      <w:r w:rsidRPr="004B2A96">
        <w:rPr>
          <w:b/>
          <w:i/>
        </w:rPr>
        <w:t>lease note</w:t>
      </w:r>
      <w:r w:rsidRPr="004B2A96">
        <w:rPr>
          <w:i/>
        </w:rPr>
        <w:t xml:space="preserve">:  </w:t>
      </w:r>
      <w:r>
        <w:rPr>
          <w:i/>
          <w:color w:val="FF0000"/>
        </w:rPr>
        <w:t>The data in this</w:t>
      </w:r>
      <w:r w:rsidRPr="00E17F11">
        <w:rPr>
          <w:i/>
          <w:color w:val="FF0000"/>
        </w:rPr>
        <w:t xml:space="preserve"> section </w:t>
      </w:r>
      <w:r>
        <w:rPr>
          <w:i/>
          <w:color w:val="FF0000"/>
        </w:rPr>
        <w:t>will be updated as</w:t>
      </w:r>
      <w:r w:rsidRPr="00E17F11">
        <w:rPr>
          <w:i/>
          <w:color w:val="FF0000"/>
        </w:rPr>
        <w:t xml:space="preserve"> relevant data </w:t>
      </w:r>
      <w:r>
        <w:rPr>
          <w:i/>
          <w:color w:val="FF0000"/>
        </w:rPr>
        <w:t>becomes</w:t>
      </w:r>
      <w:r w:rsidRPr="00E17F11">
        <w:rPr>
          <w:i/>
          <w:color w:val="FF0000"/>
        </w:rPr>
        <w:t xml:space="preserve"> available</w:t>
      </w:r>
      <w:r w:rsidRPr="004B2A96">
        <w:rPr>
          <w:i/>
        </w:rPr>
        <w:t>.</w:t>
      </w:r>
      <w:r>
        <w:rPr>
          <w:i/>
        </w:rPr>
        <w:t xml:space="preserve">  </w:t>
      </w:r>
      <w:r w:rsidRPr="00D3577E">
        <w:rPr>
          <w:i/>
          <w:color w:val="FF0000"/>
        </w:rPr>
        <w:t xml:space="preserve">Where data is currently not available X’s have been used to represent where data is missing.  </w:t>
      </w:r>
    </w:p>
    <w:tbl>
      <w:tblPr>
        <w:tblStyle w:val="GridTable4-Accent3"/>
        <w:tblW w:w="4564" w:type="pct"/>
        <w:tblLayout w:type="fixed"/>
        <w:tblLook w:val="01E0" w:firstRow="1" w:lastRow="1" w:firstColumn="1" w:lastColumn="1" w:noHBand="0" w:noVBand="0"/>
      </w:tblPr>
      <w:tblGrid>
        <w:gridCol w:w="6475"/>
        <w:gridCol w:w="3150"/>
        <w:gridCol w:w="3510"/>
      </w:tblGrid>
      <w:tr w:rsidR="004079ED" w14:paraId="53227B27" w14:textId="77777777" w:rsidTr="00407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shd w:val="clear" w:color="auto" w:fill="335375" w:themeFill="accent3" w:themeFillShade="BF"/>
          </w:tcPr>
          <w:p w14:paraId="12BB74C1" w14:textId="77777777" w:rsidR="004079ED" w:rsidRPr="008C0553" w:rsidRDefault="004079ED" w:rsidP="00B86A2F">
            <w:pPr>
              <w:spacing w:before="100" w:beforeAutospacing="1" w:after="100" w:afterAutospacing="1"/>
              <w:rPr>
                <w:b w:val="0"/>
                <w:sz w:val="22"/>
              </w:rPr>
            </w:pPr>
            <w:bookmarkStart w:id="4" w:name="_Hlk492646295"/>
            <w:bookmarkEnd w:id="3"/>
          </w:p>
        </w:tc>
        <w:tc>
          <w:tcPr>
            <w:cnfStyle w:val="000010000000" w:firstRow="0" w:lastRow="0" w:firstColumn="0" w:lastColumn="0" w:oddVBand="1" w:evenVBand="0" w:oddHBand="0" w:evenHBand="0" w:firstRowFirstColumn="0" w:firstRowLastColumn="0" w:lastRowFirstColumn="0" w:lastRowLastColumn="0"/>
            <w:tcW w:w="3150" w:type="dxa"/>
            <w:shd w:val="clear" w:color="auto" w:fill="335375" w:themeFill="accent3" w:themeFillShade="BF"/>
            <w:vAlign w:val="center"/>
          </w:tcPr>
          <w:p w14:paraId="3C7ACAA2" w14:textId="02C2886A" w:rsidR="004079ED" w:rsidRPr="00F42C8A" w:rsidRDefault="004079ED" w:rsidP="004079ED">
            <w:pPr>
              <w:spacing w:before="100" w:beforeAutospacing="1" w:after="100" w:afterAutospacing="1"/>
              <w:jc w:val="center"/>
            </w:pPr>
            <w:r>
              <w:t>One-Year Goal</w:t>
            </w:r>
          </w:p>
        </w:tc>
        <w:tc>
          <w:tcPr>
            <w:cnfStyle w:val="000100000000" w:firstRow="0" w:lastRow="0" w:firstColumn="0" w:lastColumn="1" w:oddVBand="0" w:evenVBand="0" w:oddHBand="0" w:evenHBand="0" w:firstRowFirstColumn="0" w:firstRowLastColumn="0" w:lastRowFirstColumn="0" w:lastRowLastColumn="0"/>
            <w:tcW w:w="3510" w:type="dxa"/>
            <w:shd w:val="clear" w:color="auto" w:fill="335375" w:themeFill="accent3" w:themeFillShade="BF"/>
            <w:vAlign w:val="center"/>
          </w:tcPr>
          <w:p w14:paraId="4DBC7D5F" w14:textId="4DBA17E2" w:rsidR="004079ED" w:rsidRPr="004079ED" w:rsidRDefault="004079ED" w:rsidP="004079ED">
            <w:pPr>
              <w:spacing w:before="100" w:beforeAutospacing="1" w:after="100" w:afterAutospacing="1"/>
              <w:jc w:val="center"/>
            </w:pPr>
            <w:r w:rsidRPr="004079ED">
              <w:t xml:space="preserve">Actual </w:t>
            </w:r>
          </w:p>
        </w:tc>
      </w:tr>
      <w:bookmarkEnd w:id="4"/>
      <w:tr w:rsidR="003B09E9" w14:paraId="4C265797" w14:textId="77777777" w:rsidTr="00407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4BB27766" w14:textId="77777777" w:rsidR="003B09E9" w:rsidRPr="008C0553" w:rsidRDefault="003B09E9" w:rsidP="00B86A2F">
            <w:pPr>
              <w:spacing w:before="100" w:beforeAutospacing="1" w:after="100" w:afterAutospacing="1"/>
              <w:rPr>
                <w:b w:val="0"/>
                <w:color w:val="000000"/>
                <w:sz w:val="22"/>
              </w:rPr>
            </w:pPr>
            <w:r w:rsidRPr="008C0553">
              <w:rPr>
                <w:b w:val="0"/>
                <w:sz w:val="22"/>
              </w:rPr>
              <w:t>Number of homeless households to be provided affordable housing units</w:t>
            </w:r>
          </w:p>
        </w:tc>
        <w:tc>
          <w:tcPr>
            <w:cnfStyle w:val="000010000000" w:firstRow="0" w:lastRow="0" w:firstColumn="0" w:lastColumn="0" w:oddVBand="1" w:evenVBand="0" w:oddHBand="0" w:evenHBand="0" w:firstRowFirstColumn="0" w:firstRowLastColumn="0" w:lastRowFirstColumn="0" w:lastRowLastColumn="0"/>
            <w:tcW w:w="3150" w:type="dxa"/>
            <w:shd w:val="clear" w:color="auto" w:fill="FFFFFF" w:themeFill="background1"/>
          </w:tcPr>
          <w:p w14:paraId="55A9370C" w14:textId="09305895" w:rsidR="003B09E9" w:rsidRPr="00F42C8A" w:rsidRDefault="004079ED" w:rsidP="00B86A2F">
            <w:pPr>
              <w:spacing w:before="100" w:beforeAutospacing="1" w:after="100" w:afterAutospacing="1"/>
              <w:jc w:val="right"/>
            </w:pPr>
            <w:r>
              <w:t>2,028</w:t>
            </w:r>
          </w:p>
        </w:tc>
        <w:tc>
          <w:tcPr>
            <w:cnfStyle w:val="000100000000" w:firstRow="0" w:lastRow="0" w:firstColumn="0" w:lastColumn="1" w:oddVBand="0" w:evenVBand="0" w:oddHBand="0" w:evenHBand="0" w:firstRowFirstColumn="0" w:firstRowLastColumn="0" w:lastRowFirstColumn="0" w:lastRowLastColumn="0"/>
            <w:tcW w:w="3510" w:type="dxa"/>
            <w:shd w:val="clear" w:color="auto" w:fill="FFFFFF" w:themeFill="background1"/>
          </w:tcPr>
          <w:p w14:paraId="19221903" w14:textId="77777777" w:rsidR="003B09E9" w:rsidRPr="00BE5F38" w:rsidRDefault="003B09E9" w:rsidP="00B86A2F">
            <w:pPr>
              <w:spacing w:before="100" w:beforeAutospacing="1" w:after="100" w:afterAutospacing="1"/>
              <w:jc w:val="right"/>
              <w:rPr>
                <w:b w:val="0"/>
              </w:rPr>
            </w:pPr>
            <w:r w:rsidRPr="00BE5F38">
              <w:rPr>
                <w:b w:val="0"/>
              </w:rPr>
              <w:t>X</w:t>
            </w:r>
          </w:p>
        </w:tc>
      </w:tr>
      <w:tr w:rsidR="003B09E9" w14:paraId="1F561879" w14:textId="77777777" w:rsidTr="004079ED">
        <w:tc>
          <w:tcPr>
            <w:cnfStyle w:val="001000000000" w:firstRow="0" w:lastRow="0" w:firstColumn="1" w:lastColumn="0" w:oddVBand="0" w:evenVBand="0" w:oddHBand="0" w:evenHBand="0" w:firstRowFirstColumn="0" w:firstRowLastColumn="0" w:lastRowFirstColumn="0" w:lastRowLastColumn="0"/>
            <w:tcW w:w="6475" w:type="dxa"/>
          </w:tcPr>
          <w:p w14:paraId="75FB0AFA" w14:textId="77777777" w:rsidR="003B09E9" w:rsidRPr="008C0553" w:rsidRDefault="003B09E9" w:rsidP="00B86A2F">
            <w:pPr>
              <w:keepNext/>
              <w:ind w:right="432"/>
              <w:rPr>
                <w:b w:val="0"/>
                <w:sz w:val="22"/>
              </w:rPr>
            </w:pPr>
            <w:r w:rsidRPr="008C0553">
              <w:rPr>
                <w:b w:val="0"/>
                <w:sz w:val="22"/>
              </w:rPr>
              <w:t xml:space="preserve">Number of non-homeless households to be provided affordable housing units </w:t>
            </w:r>
          </w:p>
        </w:tc>
        <w:tc>
          <w:tcPr>
            <w:cnfStyle w:val="000010000000" w:firstRow="0" w:lastRow="0" w:firstColumn="0" w:lastColumn="0" w:oddVBand="1" w:evenVBand="0" w:oddHBand="0" w:evenHBand="0" w:firstRowFirstColumn="0" w:firstRowLastColumn="0" w:lastRowFirstColumn="0" w:lastRowLastColumn="0"/>
            <w:tcW w:w="3150" w:type="dxa"/>
            <w:shd w:val="clear" w:color="auto" w:fill="FFFFFF" w:themeFill="background1"/>
          </w:tcPr>
          <w:p w14:paraId="167C47EA" w14:textId="7B52DFA6" w:rsidR="003B09E9" w:rsidRPr="00F42C8A" w:rsidRDefault="004079ED" w:rsidP="00B86A2F">
            <w:pPr>
              <w:spacing w:before="100" w:beforeAutospacing="1" w:after="100" w:afterAutospacing="1"/>
              <w:jc w:val="right"/>
            </w:pPr>
            <w:r>
              <w:t>656</w:t>
            </w:r>
          </w:p>
        </w:tc>
        <w:tc>
          <w:tcPr>
            <w:cnfStyle w:val="000100000000" w:firstRow="0" w:lastRow="0" w:firstColumn="0" w:lastColumn="1" w:oddVBand="0" w:evenVBand="0" w:oddHBand="0" w:evenHBand="0" w:firstRowFirstColumn="0" w:firstRowLastColumn="0" w:lastRowFirstColumn="0" w:lastRowLastColumn="0"/>
            <w:tcW w:w="3510" w:type="dxa"/>
            <w:shd w:val="clear" w:color="auto" w:fill="FFFFFF" w:themeFill="background1"/>
          </w:tcPr>
          <w:p w14:paraId="7A440A8F" w14:textId="77777777" w:rsidR="003B09E9" w:rsidRPr="00BE5F38" w:rsidRDefault="003B09E9" w:rsidP="00B86A2F">
            <w:pPr>
              <w:spacing w:before="100" w:beforeAutospacing="1" w:after="100" w:afterAutospacing="1"/>
              <w:jc w:val="right"/>
              <w:rPr>
                <w:b w:val="0"/>
              </w:rPr>
            </w:pPr>
            <w:r w:rsidRPr="00BE5F38">
              <w:rPr>
                <w:b w:val="0"/>
              </w:rPr>
              <w:t>X</w:t>
            </w:r>
          </w:p>
        </w:tc>
      </w:tr>
      <w:tr w:rsidR="003B09E9" w14:paraId="2E26E544" w14:textId="77777777" w:rsidTr="00407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44F58BA2" w14:textId="77777777" w:rsidR="003B09E9" w:rsidRPr="008C0553" w:rsidRDefault="003B09E9" w:rsidP="00B86A2F">
            <w:pPr>
              <w:spacing w:before="100" w:beforeAutospacing="1" w:after="100" w:afterAutospacing="1"/>
              <w:rPr>
                <w:b w:val="0"/>
                <w:sz w:val="22"/>
              </w:rPr>
            </w:pPr>
            <w:r w:rsidRPr="008C0553">
              <w:rPr>
                <w:b w:val="0"/>
                <w:color w:val="000000"/>
                <w:sz w:val="22"/>
              </w:rPr>
              <w:t>Number of Special-Needs households to be provided affordable housing units</w:t>
            </w:r>
          </w:p>
        </w:tc>
        <w:tc>
          <w:tcPr>
            <w:cnfStyle w:val="000010000000" w:firstRow="0" w:lastRow="0" w:firstColumn="0" w:lastColumn="0" w:oddVBand="1" w:evenVBand="0" w:oddHBand="0" w:evenHBand="0" w:firstRowFirstColumn="0" w:firstRowLastColumn="0" w:lastRowFirstColumn="0" w:lastRowLastColumn="0"/>
            <w:tcW w:w="3150" w:type="dxa"/>
            <w:shd w:val="clear" w:color="auto" w:fill="FFFFFF" w:themeFill="background1"/>
          </w:tcPr>
          <w:p w14:paraId="4F73E440" w14:textId="3F69C6DA" w:rsidR="003B09E9" w:rsidRPr="00F42C8A" w:rsidRDefault="004079ED" w:rsidP="00B86A2F">
            <w:pPr>
              <w:spacing w:before="100" w:beforeAutospacing="1" w:after="100" w:afterAutospacing="1"/>
              <w:jc w:val="right"/>
            </w:pPr>
            <w:r>
              <w:t>1,165</w:t>
            </w:r>
          </w:p>
        </w:tc>
        <w:tc>
          <w:tcPr>
            <w:cnfStyle w:val="000100000000" w:firstRow="0" w:lastRow="0" w:firstColumn="0" w:lastColumn="1" w:oddVBand="0" w:evenVBand="0" w:oddHBand="0" w:evenHBand="0" w:firstRowFirstColumn="0" w:firstRowLastColumn="0" w:lastRowFirstColumn="0" w:lastRowLastColumn="0"/>
            <w:tcW w:w="3510" w:type="dxa"/>
            <w:shd w:val="clear" w:color="auto" w:fill="FFFFFF" w:themeFill="background1"/>
          </w:tcPr>
          <w:p w14:paraId="213FF857" w14:textId="77777777" w:rsidR="003B09E9" w:rsidRPr="00BE5F38" w:rsidRDefault="003B09E9" w:rsidP="00B86A2F">
            <w:pPr>
              <w:spacing w:before="100" w:beforeAutospacing="1" w:after="100" w:afterAutospacing="1"/>
              <w:jc w:val="right"/>
              <w:rPr>
                <w:b w:val="0"/>
              </w:rPr>
            </w:pPr>
            <w:r w:rsidRPr="00BE5F38">
              <w:rPr>
                <w:b w:val="0"/>
              </w:rPr>
              <w:t>X</w:t>
            </w:r>
          </w:p>
        </w:tc>
      </w:tr>
      <w:tr w:rsidR="004079ED" w14:paraId="7681EBF5" w14:textId="77777777" w:rsidTr="004079E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shd w:val="clear" w:color="auto" w:fill="335375" w:themeFill="accent3" w:themeFillShade="BF"/>
            <w:vAlign w:val="center"/>
          </w:tcPr>
          <w:p w14:paraId="0C3BC9D7" w14:textId="76B29579" w:rsidR="004079ED" w:rsidRPr="004079ED" w:rsidRDefault="004079ED" w:rsidP="004079ED">
            <w:pPr>
              <w:spacing w:before="100" w:beforeAutospacing="1" w:after="100" w:afterAutospacing="1"/>
              <w:rPr>
                <w:color w:val="FFFFFF" w:themeColor="background1"/>
                <w:sz w:val="22"/>
              </w:rPr>
            </w:pPr>
            <w:r w:rsidRPr="004079ED">
              <w:rPr>
                <w:color w:val="FFFFFF" w:themeColor="background1"/>
              </w:rPr>
              <w:t xml:space="preserve">Total </w:t>
            </w:r>
          </w:p>
        </w:tc>
        <w:tc>
          <w:tcPr>
            <w:cnfStyle w:val="000010000000" w:firstRow="0" w:lastRow="0" w:firstColumn="0" w:lastColumn="0" w:oddVBand="1" w:evenVBand="0" w:oddHBand="0" w:evenHBand="0" w:firstRowFirstColumn="0" w:firstRowLastColumn="0" w:lastRowFirstColumn="0" w:lastRowLastColumn="0"/>
            <w:tcW w:w="3150" w:type="dxa"/>
            <w:shd w:val="clear" w:color="auto" w:fill="335375" w:themeFill="accent3" w:themeFillShade="BF"/>
          </w:tcPr>
          <w:p w14:paraId="6CBB05DC" w14:textId="06B07982" w:rsidR="004079ED" w:rsidRPr="004079ED" w:rsidRDefault="004079ED" w:rsidP="00B86A2F">
            <w:pPr>
              <w:spacing w:before="100" w:beforeAutospacing="1" w:after="100" w:afterAutospacing="1"/>
              <w:jc w:val="right"/>
              <w:rPr>
                <w:color w:val="FFFFFF" w:themeColor="background1"/>
              </w:rPr>
            </w:pPr>
            <w:r>
              <w:rPr>
                <w:color w:val="FFFFFF" w:themeColor="background1"/>
              </w:rPr>
              <w:t>3,849</w:t>
            </w:r>
          </w:p>
        </w:tc>
        <w:tc>
          <w:tcPr>
            <w:cnfStyle w:val="000100000000" w:firstRow="0" w:lastRow="0" w:firstColumn="0" w:lastColumn="1" w:oddVBand="0" w:evenVBand="0" w:oddHBand="0" w:evenHBand="0" w:firstRowFirstColumn="0" w:firstRowLastColumn="0" w:lastRowFirstColumn="0" w:lastRowLastColumn="0"/>
            <w:tcW w:w="3510" w:type="dxa"/>
            <w:shd w:val="clear" w:color="auto" w:fill="335375" w:themeFill="accent3" w:themeFillShade="BF"/>
          </w:tcPr>
          <w:p w14:paraId="5DDCB112" w14:textId="77777777" w:rsidR="004079ED" w:rsidRPr="004079ED" w:rsidRDefault="004079ED" w:rsidP="00B86A2F">
            <w:pPr>
              <w:spacing w:before="100" w:beforeAutospacing="1" w:after="100" w:afterAutospacing="1"/>
              <w:jc w:val="right"/>
              <w:rPr>
                <w:b w:val="0"/>
                <w:color w:val="FFFFFF" w:themeColor="background1"/>
              </w:rPr>
            </w:pPr>
          </w:p>
        </w:tc>
      </w:tr>
    </w:tbl>
    <w:p w14:paraId="5B591950" w14:textId="77777777" w:rsidR="008734C1" w:rsidRPr="00BE5F38" w:rsidRDefault="00B16717" w:rsidP="00BE5F38">
      <w:pPr>
        <w:pStyle w:val="Caption"/>
        <w:jc w:val="center"/>
        <w:rPr>
          <w:rFonts w:ascii="Arial" w:hAnsi="Arial" w:cs="Arial"/>
          <w:sz w:val="16"/>
        </w:rPr>
      </w:pPr>
      <w:r w:rsidRPr="00B16717">
        <w:rPr>
          <w:rFonts w:ascii="Arial" w:hAnsi="Arial" w:cs="Arial"/>
          <w:sz w:val="16"/>
        </w:rPr>
        <w:t xml:space="preserve">Table </w:t>
      </w:r>
      <w:r w:rsidR="00AE58A9">
        <w:rPr>
          <w:rFonts w:ascii="Arial" w:hAnsi="Arial" w:cs="Arial"/>
          <w:sz w:val="16"/>
        </w:rPr>
        <w:t>10</w:t>
      </w:r>
      <w:r w:rsidRPr="00B16717">
        <w:rPr>
          <w:rFonts w:ascii="Arial" w:hAnsi="Arial" w:cs="Arial"/>
          <w:sz w:val="16"/>
        </w:rPr>
        <w:t xml:space="preserve"> – Number of Households</w:t>
      </w:r>
    </w:p>
    <w:p w14:paraId="042CE889" w14:textId="77777777" w:rsidR="00255C43" w:rsidRPr="004905D3" w:rsidRDefault="00255C43" w:rsidP="004905D3">
      <w:pPr>
        <w:rPr>
          <w:b/>
          <w:bCs/>
          <w:sz w:val="16"/>
        </w:rPr>
      </w:pPr>
    </w:p>
    <w:tbl>
      <w:tblPr>
        <w:tblStyle w:val="GridTable4-Accent3"/>
        <w:tblW w:w="4534" w:type="pct"/>
        <w:tblInd w:w="85" w:type="dxa"/>
        <w:tblLayout w:type="fixed"/>
        <w:tblLook w:val="01E0" w:firstRow="1" w:lastRow="1" w:firstColumn="1" w:lastColumn="1" w:noHBand="0" w:noVBand="0"/>
      </w:tblPr>
      <w:tblGrid>
        <w:gridCol w:w="6356"/>
        <w:gridCol w:w="3183"/>
        <w:gridCol w:w="3510"/>
      </w:tblGrid>
      <w:tr w:rsidR="004079ED" w14:paraId="55A1AFC8" w14:textId="77777777" w:rsidTr="00407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6" w:type="dxa"/>
            <w:shd w:val="clear" w:color="auto" w:fill="335375" w:themeFill="accent3" w:themeFillShade="BF"/>
          </w:tcPr>
          <w:p w14:paraId="5602A943" w14:textId="77777777" w:rsidR="004079ED" w:rsidRPr="00262B8E" w:rsidRDefault="004079ED" w:rsidP="004079ED">
            <w:pPr>
              <w:keepNext/>
              <w:ind w:right="432"/>
              <w:rPr>
                <w:b w:val="0"/>
              </w:rPr>
            </w:pPr>
          </w:p>
        </w:tc>
        <w:tc>
          <w:tcPr>
            <w:cnfStyle w:val="000010000000" w:firstRow="0" w:lastRow="0" w:firstColumn="0" w:lastColumn="0" w:oddVBand="1" w:evenVBand="0" w:oddHBand="0" w:evenHBand="0" w:firstRowFirstColumn="0" w:firstRowLastColumn="0" w:lastRowFirstColumn="0" w:lastRowLastColumn="0"/>
            <w:tcW w:w="3183" w:type="dxa"/>
            <w:shd w:val="clear" w:color="auto" w:fill="335375" w:themeFill="accent3" w:themeFillShade="BF"/>
            <w:vAlign w:val="center"/>
          </w:tcPr>
          <w:p w14:paraId="3F245C83" w14:textId="7E1B159E" w:rsidR="004079ED" w:rsidRPr="004079ED" w:rsidRDefault="004079ED" w:rsidP="004079ED">
            <w:pPr>
              <w:pStyle w:val="Caption"/>
              <w:keepNext/>
              <w:widowControl w:val="0"/>
              <w:jc w:val="center"/>
              <w:rPr>
                <w:rFonts w:ascii="Arial" w:hAnsi="Arial" w:cs="Arial"/>
                <w:b/>
                <w:sz w:val="24"/>
                <w:szCs w:val="22"/>
              </w:rPr>
            </w:pPr>
            <w:r w:rsidRPr="004079ED">
              <w:rPr>
                <w:rFonts w:ascii="Arial" w:hAnsi="Arial" w:cs="Arial"/>
                <w:b/>
                <w:sz w:val="24"/>
              </w:rPr>
              <w:t>One-Year Goal</w:t>
            </w:r>
          </w:p>
        </w:tc>
        <w:tc>
          <w:tcPr>
            <w:cnfStyle w:val="000100000000" w:firstRow="0" w:lastRow="0" w:firstColumn="0" w:lastColumn="1" w:oddVBand="0" w:evenVBand="0" w:oddHBand="0" w:evenHBand="0" w:firstRowFirstColumn="0" w:firstRowLastColumn="0" w:lastRowFirstColumn="0" w:lastRowLastColumn="0"/>
            <w:tcW w:w="3510" w:type="dxa"/>
            <w:shd w:val="clear" w:color="auto" w:fill="335375" w:themeFill="accent3" w:themeFillShade="BF"/>
            <w:vAlign w:val="center"/>
          </w:tcPr>
          <w:p w14:paraId="70FDDA04" w14:textId="2E13A213" w:rsidR="004079ED" w:rsidRPr="004079ED" w:rsidRDefault="004079ED" w:rsidP="004079ED">
            <w:pPr>
              <w:pStyle w:val="Caption"/>
              <w:keepNext/>
              <w:widowControl w:val="0"/>
              <w:jc w:val="center"/>
              <w:rPr>
                <w:rFonts w:ascii="Arial" w:hAnsi="Arial" w:cs="Arial"/>
                <w:b/>
                <w:sz w:val="24"/>
                <w:szCs w:val="22"/>
              </w:rPr>
            </w:pPr>
            <w:r w:rsidRPr="004079ED">
              <w:rPr>
                <w:rFonts w:ascii="Arial" w:hAnsi="Arial" w:cs="Arial"/>
                <w:b/>
                <w:sz w:val="24"/>
              </w:rPr>
              <w:t>Actual</w:t>
            </w:r>
          </w:p>
        </w:tc>
      </w:tr>
      <w:tr w:rsidR="004079ED" w14:paraId="4E5E5E7C" w14:textId="77777777" w:rsidTr="00407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6" w:type="dxa"/>
          </w:tcPr>
          <w:p w14:paraId="7C383B11" w14:textId="77777777" w:rsidR="004079ED" w:rsidRPr="00262B8E" w:rsidRDefault="004079ED" w:rsidP="00757E30">
            <w:pPr>
              <w:keepNext/>
              <w:ind w:right="432"/>
              <w:rPr>
                <w:b w:val="0"/>
              </w:rPr>
            </w:pPr>
            <w:r w:rsidRPr="00262B8E">
              <w:rPr>
                <w:b w:val="0"/>
              </w:rPr>
              <w:t xml:space="preserve">Number of households supported through rental assistance </w:t>
            </w:r>
          </w:p>
        </w:tc>
        <w:tc>
          <w:tcPr>
            <w:cnfStyle w:val="000010000000" w:firstRow="0" w:lastRow="0" w:firstColumn="0" w:lastColumn="0" w:oddVBand="1" w:evenVBand="0" w:oddHBand="0" w:evenHBand="0" w:firstRowFirstColumn="0" w:firstRowLastColumn="0" w:lastRowFirstColumn="0" w:lastRowLastColumn="0"/>
            <w:tcW w:w="3183" w:type="dxa"/>
            <w:vAlign w:val="center"/>
          </w:tcPr>
          <w:p w14:paraId="5E681575" w14:textId="0AD41436" w:rsidR="004079ED" w:rsidRPr="003E6342" w:rsidRDefault="004079ED" w:rsidP="00925690">
            <w:pPr>
              <w:pStyle w:val="Caption"/>
              <w:keepNext/>
              <w:widowControl w:val="0"/>
              <w:jc w:val="right"/>
              <w:rPr>
                <w:rFonts w:ascii="Arial" w:hAnsi="Arial" w:cs="Arial"/>
                <w:b w:val="0"/>
                <w:sz w:val="24"/>
                <w:szCs w:val="22"/>
              </w:rPr>
            </w:pPr>
            <w:r w:rsidRPr="003E6342">
              <w:rPr>
                <w:rFonts w:ascii="Arial" w:hAnsi="Arial" w:cs="Arial"/>
                <w:b w:val="0"/>
                <w:sz w:val="24"/>
                <w:szCs w:val="22"/>
              </w:rPr>
              <w:t>2028</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0EEA5227" w14:textId="43A14E34" w:rsidR="004079ED" w:rsidRPr="003E6342" w:rsidRDefault="004079ED" w:rsidP="00925690">
            <w:pPr>
              <w:pStyle w:val="Caption"/>
              <w:keepNext/>
              <w:widowControl w:val="0"/>
              <w:jc w:val="right"/>
              <w:rPr>
                <w:rFonts w:ascii="Arial" w:hAnsi="Arial" w:cs="Arial"/>
                <w:sz w:val="24"/>
                <w:szCs w:val="22"/>
              </w:rPr>
            </w:pPr>
            <w:r w:rsidRPr="003E6342">
              <w:rPr>
                <w:rFonts w:ascii="Arial" w:hAnsi="Arial" w:cs="Arial"/>
                <w:sz w:val="24"/>
                <w:szCs w:val="22"/>
              </w:rPr>
              <w:t>X</w:t>
            </w:r>
          </w:p>
        </w:tc>
      </w:tr>
      <w:tr w:rsidR="004079ED" w14:paraId="41DA1328" w14:textId="77777777" w:rsidTr="004079ED">
        <w:tc>
          <w:tcPr>
            <w:cnfStyle w:val="001000000000" w:firstRow="0" w:lastRow="0" w:firstColumn="1" w:lastColumn="0" w:oddVBand="0" w:evenVBand="0" w:oddHBand="0" w:evenHBand="0" w:firstRowFirstColumn="0" w:firstRowLastColumn="0" w:lastRowFirstColumn="0" w:lastRowLastColumn="0"/>
            <w:tcW w:w="6356" w:type="dxa"/>
          </w:tcPr>
          <w:p w14:paraId="155B9D5B" w14:textId="77777777" w:rsidR="004079ED" w:rsidRPr="00262B8E" w:rsidRDefault="004079ED" w:rsidP="00757E30">
            <w:pPr>
              <w:keepNext/>
              <w:ind w:right="432"/>
              <w:rPr>
                <w:b w:val="0"/>
              </w:rPr>
            </w:pPr>
            <w:r w:rsidRPr="00262B8E">
              <w:rPr>
                <w:b w:val="0"/>
              </w:rPr>
              <w:t>Number of households supported through the production of new units</w:t>
            </w:r>
          </w:p>
        </w:tc>
        <w:tc>
          <w:tcPr>
            <w:cnfStyle w:val="000010000000" w:firstRow="0" w:lastRow="0" w:firstColumn="0" w:lastColumn="0" w:oddVBand="1" w:evenVBand="0" w:oddHBand="0" w:evenHBand="0" w:firstRowFirstColumn="0" w:firstRowLastColumn="0" w:lastRowFirstColumn="0" w:lastRowLastColumn="0"/>
            <w:tcW w:w="3183" w:type="dxa"/>
            <w:vAlign w:val="center"/>
          </w:tcPr>
          <w:p w14:paraId="436D7446" w14:textId="0CD26ED8" w:rsidR="004079ED" w:rsidRPr="003E6342" w:rsidRDefault="004079ED" w:rsidP="00925690">
            <w:pPr>
              <w:pStyle w:val="Caption"/>
              <w:keepNext/>
              <w:widowControl w:val="0"/>
              <w:jc w:val="right"/>
              <w:rPr>
                <w:rFonts w:ascii="Arial" w:hAnsi="Arial" w:cs="Arial"/>
                <w:b w:val="0"/>
                <w:sz w:val="24"/>
                <w:szCs w:val="22"/>
              </w:rPr>
            </w:pPr>
            <w:r w:rsidRPr="003E6342">
              <w:rPr>
                <w:rFonts w:ascii="Arial" w:hAnsi="Arial" w:cs="Arial"/>
                <w:b w:val="0"/>
                <w:sz w:val="24"/>
                <w:szCs w:val="22"/>
              </w:rPr>
              <w:t>217</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0D8BA8DE" w14:textId="62B5BB31" w:rsidR="004079ED" w:rsidRPr="003E6342" w:rsidRDefault="004079ED" w:rsidP="00925690">
            <w:pPr>
              <w:pStyle w:val="Caption"/>
              <w:keepNext/>
              <w:widowControl w:val="0"/>
              <w:jc w:val="right"/>
              <w:rPr>
                <w:rFonts w:ascii="Arial" w:hAnsi="Arial" w:cs="Arial"/>
                <w:sz w:val="24"/>
                <w:szCs w:val="22"/>
              </w:rPr>
            </w:pPr>
            <w:r w:rsidRPr="003E6342">
              <w:rPr>
                <w:rFonts w:ascii="Arial" w:hAnsi="Arial" w:cs="Arial"/>
                <w:sz w:val="24"/>
                <w:szCs w:val="22"/>
              </w:rPr>
              <w:t>X</w:t>
            </w:r>
          </w:p>
        </w:tc>
      </w:tr>
      <w:tr w:rsidR="004079ED" w14:paraId="55FA6B09" w14:textId="77777777" w:rsidTr="00407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6" w:type="dxa"/>
          </w:tcPr>
          <w:p w14:paraId="661DBC72" w14:textId="77777777" w:rsidR="004079ED" w:rsidRPr="00262B8E" w:rsidRDefault="004079ED" w:rsidP="00757E30">
            <w:pPr>
              <w:keepNext/>
              <w:ind w:right="432"/>
              <w:rPr>
                <w:b w:val="0"/>
              </w:rPr>
            </w:pPr>
            <w:r w:rsidRPr="00262B8E">
              <w:rPr>
                <w:b w:val="0"/>
              </w:rPr>
              <w:t>Number of households supported through the rehab of existing units</w:t>
            </w:r>
          </w:p>
        </w:tc>
        <w:tc>
          <w:tcPr>
            <w:cnfStyle w:val="000010000000" w:firstRow="0" w:lastRow="0" w:firstColumn="0" w:lastColumn="0" w:oddVBand="1" w:evenVBand="0" w:oddHBand="0" w:evenHBand="0" w:firstRowFirstColumn="0" w:firstRowLastColumn="0" w:lastRowFirstColumn="0" w:lastRowLastColumn="0"/>
            <w:tcW w:w="3183" w:type="dxa"/>
            <w:vAlign w:val="center"/>
          </w:tcPr>
          <w:p w14:paraId="3069A293" w14:textId="477C3EB3" w:rsidR="004079ED" w:rsidRPr="003E6342" w:rsidRDefault="004079ED" w:rsidP="00925690">
            <w:pPr>
              <w:pStyle w:val="Caption"/>
              <w:keepNext/>
              <w:widowControl w:val="0"/>
              <w:jc w:val="right"/>
              <w:rPr>
                <w:rFonts w:ascii="Arial" w:hAnsi="Arial" w:cs="Arial"/>
                <w:b w:val="0"/>
                <w:sz w:val="24"/>
                <w:szCs w:val="22"/>
              </w:rPr>
            </w:pPr>
            <w:r w:rsidRPr="003E6342">
              <w:rPr>
                <w:rFonts w:ascii="Arial" w:hAnsi="Arial" w:cs="Arial"/>
                <w:b w:val="0"/>
                <w:sz w:val="24"/>
                <w:szCs w:val="22"/>
              </w:rPr>
              <w:t>315</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6487D43" w14:textId="24EF9DAE" w:rsidR="004079ED" w:rsidRPr="003E6342" w:rsidRDefault="004079ED" w:rsidP="00925690">
            <w:pPr>
              <w:pStyle w:val="Caption"/>
              <w:keepNext/>
              <w:widowControl w:val="0"/>
              <w:jc w:val="right"/>
              <w:rPr>
                <w:rFonts w:ascii="Arial" w:hAnsi="Arial" w:cs="Arial"/>
                <w:sz w:val="24"/>
                <w:szCs w:val="22"/>
              </w:rPr>
            </w:pPr>
            <w:r w:rsidRPr="003E6342">
              <w:rPr>
                <w:rFonts w:ascii="Arial" w:hAnsi="Arial" w:cs="Arial"/>
                <w:sz w:val="24"/>
                <w:szCs w:val="22"/>
              </w:rPr>
              <w:t>X</w:t>
            </w:r>
          </w:p>
        </w:tc>
      </w:tr>
      <w:tr w:rsidR="004079ED" w14:paraId="31B724AA" w14:textId="77777777" w:rsidTr="004079ED">
        <w:tc>
          <w:tcPr>
            <w:cnfStyle w:val="001000000000" w:firstRow="0" w:lastRow="0" w:firstColumn="1" w:lastColumn="0" w:oddVBand="0" w:evenVBand="0" w:oddHBand="0" w:evenHBand="0" w:firstRowFirstColumn="0" w:firstRowLastColumn="0" w:lastRowFirstColumn="0" w:lastRowLastColumn="0"/>
            <w:tcW w:w="6356" w:type="dxa"/>
          </w:tcPr>
          <w:p w14:paraId="02E92BE3" w14:textId="77777777" w:rsidR="004079ED" w:rsidRPr="00262B8E" w:rsidRDefault="004079ED" w:rsidP="00757E30">
            <w:pPr>
              <w:keepNext/>
              <w:ind w:right="432"/>
              <w:rPr>
                <w:b w:val="0"/>
              </w:rPr>
            </w:pPr>
            <w:r w:rsidRPr="00262B8E">
              <w:rPr>
                <w:b w:val="0"/>
              </w:rPr>
              <w:t>Number of households supported through the acquisition of existing units</w:t>
            </w:r>
          </w:p>
        </w:tc>
        <w:tc>
          <w:tcPr>
            <w:cnfStyle w:val="000010000000" w:firstRow="0" w:lastRow="0" w:firstColumn="0" w:lastColumn="0" w:oddVBand="1" w:evenVBand="0" w:oddHBand="0" w:evenHBand="0" w:firstRowFirstColumn="0" w:firstRowLastColumn="0" w:lastRowFirstColumn="0" w:lastRowLastColumn="0"/>
            <w:tcW w:w="3183" w:type="dxa"/>
            <w:vAlign w:val="center"/>
          </w:tcPr>
          <w:p w14:paraId="52855A41" w14:textId="075BCC70" w:rsidR="004079ED" w:rsidRPr="003E6342" w:rsidRDefault="004079ED" w:rsidP="00925690">
            <w:pPr>
              <w:pStyle w:val="Caption"/>
              <w:keepNext/>
              <w:widowControl w:val="0"/>
              <w:jc w:val="right"/>
              <w:rPr>
                <w:rFonts w:ascii="Arial" w:hAnsi="Arial" w:cs="Arial"/>
                <w:b w:val="0"/>
                <w:sz w:val="24"/>
                <w:szCs w:val="22"/>
              </w:rPr>
            </w:pPr>
            <w:r w:rsidRPr="003E6342">
              <w:rPr>
                <w:rFonts w:ascii="Arial" w:hAnsi="Arial" w:cs="Arial"/>
                <w:b w:val="0"/>
                <w:sz w:val="24"/>
                <w:szCs w:val="22"/>
              </w:rPr>
              <w:t>124</w:t>
            </w:r>
          </w:p>
        </w:tc>
        <w:tc>
          <w:tcPr>
            <w:cnfStyle w:val="000100000000" w:firstRow="0" w:lastRow="0" w:firstColumn="0" w:lastColumn="1" w:oddVBand="0" w:evenVBand="0" w:oddHBand="0" w:evenHBand="0" w:firstRowFirstColumn="0" w:firstRowLastColumn="0" w:lastRowFirstColumn="0" w:lastRowLastColumn="0"/>
            <w:tcW w:w="3510" w:type="dxa"/>
            <w:vAlign w:val="center"/>
          </w:tcPr>
          <w:p w14:paraId="76583A07" w14:textId="4458DCDA" w:rsidR="004079ED" w:rsidRPr="003E6342" w:rsidRDefault="004079ED" w:rsidP="00925690">
            <w:pPr>
              <w:pStyle w:val="Caption"/>
              <w:keepNext/>
              <w:widowControl w:val="0"/>
              <w:jc w:val="right"/>
              <w:rPr>
                <w:rFonts w:ascii="Arial" w:hAnsi="Arial" w:cs="Arial"/>
                <w:sz w:val="24"/>
                <w:szCs w:val="22"/>
              </w:rPr>
            </w:pPr>
            <w:r w:rsidRPr="003E6342">
              <w:rPr>
                <w:rFonts w:ascii="Arial" w:hAnsi="Arial" w:cs="Arial"/>
                <w:sz w:val="24"/>
                <w:szCs w:val="22"/>
              </w:rPr>
              <w:t>X</w:t>
            </w:r>
          </w:p>
        </w:tc>
      </w:tr>
      <w:tr w:rsidR="004079ED" w14:paraId="725AD9EA" w14:textId="77777777" w:rsidTr="004079E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6" w:type="dxa"/>
            <w:shd w:val="clear" w:color="auto" w:fill="335375" w:themeFill="accent3" w:themeFillShade="BF"/>
          </w:tcPr>
          <w:p w14:paraId="34E22241" w14:textId="5016654C" w:rsidR="004079ED" w:rsidRPr="004079ED" w:rsidRDefault="004079ED" w:rsidP="00757E30">
            <w:pPr>
              <w:keepNext/>
              <w:ind w:right="432"/>
              <w:rPr>
                <w:color w:val="FFFFFF" w:themeColor="background1"/>
              </w:rPr>
            </w:pPr>
            <w:r w:rsidRPr="004079ED">
              <w:rPr>
                <w:color w:val="FFFFFF" w:themeColor="background1"/>
              </w:rPr>
              <w:t xml:space="preserve">Total </w:t>
            </w:r>
          </w:p>
        </w:tc>
        <w:tc>
          <w:tcPr>
            <w:cnfStyle w:val="000010000000" w:firstRow="0" w:lastRow="0" w:firstColumn="0" w:lastColumn="0" w:oddVBand="1" w:evenVBand="0" w:oddHBand="0" w:evenHBand="0" w:firstRowFirstColumn="0" w:firstRowLastColumn="0" w:lastRowFirstColumn="0" w:lastRowLastColumn="0"/>
            <w:tcW w:w="3183" w:type="dxa"/>
            <w:shd w:val="clear" w:color="auto" w:fill="335375" w:themeFill="accent3" w:themeFillShade="BF"/>
            <w:vAlign w:val="center"/>
          </w:tcPr>
          <w:p w14:paraId="6248EB4E" w14:textId="5C89279E" w:rsidR="004079ED" w:rsidRPr="003E6342" w:rsidRDefault="004079ED" w:rsidP="00925690">
            <w:pPr>
              <w:pStyle w:val="Caption"/>
              <w:keepNext/>
              <w:widowControl w:val="0"/>
              <w:jc w:val="right"/>
              <w:rPr>
                <w:rFonts w:ascii="Arial" w:hAnsi="Arial" w:cs="Arial"/>
                <w:b/>
                <w:color w:val="FFFFFF" w:themeColor="background1"/>
                <w:sz w:val="24"/>
                <w:szCs w:val="22"/>
              </w:rPr>
            </w:pPr>
            <w:r w:rsidRPr="003E6342">
              <w:rPr>
                <w:rFonts w:ascii="Arial" w:hAnsi="Arial" w:cs="Arial"/>
                <w:b/>
                <w:color w:val="FFFFFF" w:themeColor="background1"/>
                <w:sz w:val="24"/>
                <w:szCs w:val="22"/>
              </w:rPr>
              <w:t>2684</w:t>
            </w:r>
          </w:p>
        </w:tc>
        <w:tc>
          <w:tcPr>
            <w:cnfStyle w:val="000100000000" w:firstRow="0" w:lastRow="0" w:firstColumn="0" w:lastColumn="1" w:oddVBand="0" w:evenVBand="0" w:oddHBand="0" w:evenHBand="0" w:firstRowFirstColumn="0" w:firstRowLastColumn="0" w:lastRowFirstColumn="0" w:lastRowLastColumn="0"/>
            <w:tcW w:w="3510" w:type="dxa"/>
            <w:shd w:val="clear" w:color="auto" w:fill="335375" w:themeFill="accent3" w:themeFillShade="BF"/>
            <w:vAlign w:val="center"/>
          </w:tcPr>
          <w:p w14:paraId="22780B6B" w14:textId="77777777" w:rsidR="004079ED" w:rsidRPr="004079ED" w:rsidRDefault="004079ED" w:rsidP="00925690">
            <w:pPr>
              <w:pStyle w:val="Caption"/>
              <w:keepNext/>
              <w:widowControl w:val="0"/>
              <w:jc w:val="right"/>
              <w:rPr>
                <w:rFonts w:ascii="Arial" w:hAnsi="Arial" w:cs="Arial"/>
                <w:color w:val="FFFFFF" w:themeColor="background1"/>
                <w:sz w:val="22"/>
                <w:szCs w:val="22"/>
              </w:rPr>
            </w:pPr>
          </w:p>
        </w:tc>
      </w:tr>
    </w:tbl>
    <w:p w14:paraId="281A042D" w14:textId="4DD53522" w:rsidR="00087BA0" w:rsidRPr="00074C30" w:rsidRDefault="00B16717" w:rsidP="00074C30">
      <w:pPr>
        <w:pStyle w:val="Caption"/>
        <w:jc w:val="center"/>
        <w:rPr>
          <w:rFonts w:ascii="Arial" w:hAnsi="Arial" w:cs="Arial"/>
          <w:sz w:val="16"/>
        </w:rPr>
      </w:pPr>
      <w:r w:rsidRPr="00B16717">
        <w:rPr>
          <w:rFonts w:ascii="Arial" w:hAnsi="Arial" w:cs="Arial"/>
          <w:sz w:val="16"/>
        </w:rPr>
        <w:t xml:space="preserve">Table </w:t>
      </w:r>
      <w:r w:rsidR="004079ED">
        <w:rPr>
          <w:rFonts w:ascii="Arial" w:hAnsi="Arial" w:cs="Arial"/>
          <w:sz w:val="16"/>
        </w:rPr>
        <w:t>11</w:t>
      </w:r>
      <w:r w:rsidR="00AE58A9" w:rsidRPr="00B16717">
        <w:rPr>
          <w:rFonts w:ascii="Arial" w:hAnsi="Arial" w:cs="Arial"/>
          <w:sz w:val="16"/>
        </w:rPr>
        <w:t xml:space="preserve"> </w:t>
      </w:r>
      <w:r w:rsidRPr="00B16717">
        <w:rPr>
          <w:rFonts w:ascii="Arial" w:hAnsi="Arial" w:cs="Arial"/>
          <w:sz w:val="16"/>
        </w:rPr>
        <w:t>–</w:t>
      </w:r>
      <w:r w:rsidR="00074C30">
        <w:rPr>
          <w:rFonts w:ascii="Arial" w:hAnsi="Arial" w:cs="Arial"/>
          <w:sz w:val="16"/>
        </w:rPr>
        <w:t xml:space="preserve"> Number of Households Supported</w:t>
      </w:r>
    </w:p>
    <w:p w14:paraId="091F0AEB" w14:textId="77777777" w:rsidR="00074C30" w:rsidRDefault="00074C30" w:rsidP="00074C30">
      <w:pPr>
        <w:widowControl w:val="0"/>
        <w:spacing w:line="204" w:lineRule="auto"/>
        <w:rPr>
          <w:b/>
          <w:i/>
          <w:szCs w:val="24"/>
          <w:u w:val="single"/>
        </w:rPr>
      </w:pPr>
    </w:p>
    <w:p w14:paraId="06F28150" w14:textId="77777777" w:rsidR="004905D3" w:rsidRDefault="004905D3" w:rsidP="00074C30">
      <w:pPr>
        <w:widowControl w:val="0"/>
        <w:spacing w:line="204" w:lineRule="auto"/>
        <w:rPr>
          <w:b/>
          <w:i/>
          <w:szCs w:val="24"/>
          <w:u w:val="single"/>
        </w:rPr>
      </w:pPr>
    </w:p>
    <w:p w14:paraId="2057866C" w14:textId="77777777" w:rsidR="004905D3" w:rsidRDefault="004905D3" w:rsidP="00074C30">
      <w:pPr>
        <w:widowControl w:val="0"/>
        <w:spacing w:line="204" w:lineRule="auto"/>
        <w:rPr>
          <w:b/>
          <w:i/>
          <w:szCs w:val="24"/>
          <w:u w:val="single"/>
        </w:rPr>
      </w:pPr>
    </w:p>
    <w:p w14:paraId="58CCA517" w14:textId="77777777" w:rsidR="004905D3" w:rsidRDefault="004905D3" w:rsidP="00074C30">
      <w:pPr>
        <w:widowControl w:val="0"/>
        <w:spacing w:line="204" w:lineRule="auto"/>
        <w:rPr>
          <w:b/>
          <w:i/>
          <w:szCs w:val="24"/>
          <w:u w:val="single"/>
        </w:rPr>
      </w:pPr>
    </w:p>
    <w:p w14:paraId="3DE6449D" w14:textId="77777777" w:rsidR="00074C30" w:rsidRPr="0031344F" w:rsidRDefault="00074C30" w:rsidP="00074C30">
      <w:pPr>
        <w:widowControl w:val="0"/>
        <w:spacing w:line="204" w:lineRule="auto"/>
        <w:rPr>
          <w:b/>
          <w:i/>
          <w:color w:val="22384E" w:themeColor="accent3" w:themeShade="80"/>
          <w:szCs w:val="24"/>
          <w:u w:val="single"/>
        </w:rPr>
      </w:pPr>
      <w:r w:rsidRPr="0031344F">
        <w:rPr>
          <w:b/>
          <w:i/>
          <w:szCs w:val="24"/>
          <w:u w:val="single"/>
        </w:rPr>
        <w:t>NARRATIVE</w:t>
      </w:r>
    </w:p>
    <w:p w14:paraId="45E30C08" w14:textId="77777777" w:rsidR="00021D4B" w:rsidRPr="00AE79C4" w:rsidRDefault="00021D4B" w:rsidP="00F03B8C">
      <w:pPr>
        <w:spacing w:before="100" w:beforeAutospacing="1" w:after="100" w:afterAutospacing="1"/>
        <w:rPr>
          <w:rFonts w:cs="Arial"/>
          <w:b/>
        </w:rPr>
      </w:pPr>
      <w:r w:rsidRPr="00AE79C4">
        <w:rPr>
          <w:rFonts w:cs="Arial"/>
          <w:b/>
          <w:u w:val="single"/>
        </w:rPr>
        <w:t>Discuss the difference between goals and outcomes and problems encountered in meeting these goals.</w:t>
      </w:r>
    </w:p>
    <w:p w14:paraId="3251764F" w14:textId="77777777" w:rsidR="005D70CF" w:rsidRDefault="005D70CF" w:rsidP="005D70CF">
      <w:pPr>
        <w:widowControl w:val="0"/>
        <w:spacing w:after="100" w:afterAutospacing="1"/>
        <w:rPr>
          <w:i/>
        </w:rPr>
      </w:pPr>
      <w:r w:rsidRPr="005D70CF">
        <w:rPr>
          <w:i/>
        </w:rPr>
        <w:t>NARRATIVE:</w:t>
      </w:r>
    </w:p>
    <w:p w14:paraId="35677A35" w14:textId="01B1D738" w:rsidR="00865FE2" w:rsidRPr="00D3577E" w:rsidRDefault="00865FE2" w:rsidP="00865FE2">
      <w:pPr>
        <w:widowControl w:val="0"/>
        <w:spacing w:after="100" w:afterAutospacing="1"/>
        <w:jc w:val="center"/>
        <w:rPr>
          <w:i/>
          <w:color w:val="FF0000"/>
        </w:rPr>
      </w:pPr>
      <w:r>
        <w:rPr>
          <w:b/>
          <w:i/>
        </w:rPr>
        <w:t>P</w:t>
      </w:r>
      <w:r w:rsidRPr="004B2A96">
        <w:rPr>
          <w:b/>
          <w:i/>
        </w:rPr>
        <w:t>lease note</w:t>
      </w:r>
      <w:r w:rsidRPr="004B2A96">
        <w:rPr>
          <w:i/>
        </w:rPr>
        <w:t xml:space="preserve">:  </w:t>
      </w:r>
      <w:r>
        <w:rPr>
          <w:i/>
          <w:color w:val="FF0000"/>
        </w:rPr>
        <w:t>The data in this</w:t>
      </w:r>
      <w:r w:rsidR="00C7010D">
        <w:rPr>
          <w:i/>
          <w:color w:val="FF0000"/>
        </w:rPr>
        <w:t xml:space="preserve"> narrative</w:t>
      </w:r>
      <w:r w:rsidRPr="00E17F11">
        <w:rPr>
          <w:i/>
          <w:color w:val="FF0000"/>
        </w:rPr>
        <w:t xml:space="preserve"> section </w:t>
      </w:r>
      <w:r>
        <w:rPr>
          <w:i/>
          <w:color w:val="FF0000"/>
        </w:rPr>
        <w:t>will be updated as</w:t>
      </w:r>
      <w:r w:rsidRPr="00E17F11">
        <w:rPr>
          <w:i/>
          <w:color w:val="FF0000"/>
        </w:rPr>
        <w:t xml:space="preserve"> relevant data </w:t>
      </w:r>
      <w:r>
        <w:rPr>
          <w:i/>
          <w:color w:val="FF0000"/>
        </w:rPr>
        <w:t>becomes</w:t>
      </w:r>
      <w:r w:rsidRPr="00E17F11">
        <w:rPr>
          <w:i/>
          <w:color w:val="FF0000"/>
        </w:rPr>
        <w:t xml:space="preserve"> available</w:t>
      </w:r>
      <w:r w:rsidRPr="004B2A96">
        <w:rPr>
          <w:i/>
        </w:rPr>
        <w:t>.</w:t>
      </w:r>
      <w:r>
        <w:rPr>
          <w:i/>
        </w:rPr>
        <w:t xml:space="preserve">  </w:t>
      </w:r>
    </w:p>
    <w:p w14:paraId="4B5EAC0C" w14:textId="77777777" w:rsidR="00021D4B" w:rsidRPr="000B0C8C" w:rsidRDefault="00021D4B" w:rsidP="00074C30">
      <w:pPr>
        <w:spacing w:before="100" w:beforeAutospacing="1" w:after="100" w:afterAutospacing="1"/>
        <w:rPr>
          <w:rFonts w:cs="Arial"/>
        </w:rPr>
      </w:pPr>
      <w:r w:rsidRPr="001F161B">
        <w:rPr>
          <w:rFonts w:cs="Arial"/>
          <w:b/>
        </w:rPr>
        <w:t>HOPWA</w:t>
      </w:r>
      <w:r w:rsidR="00960DB0">
        <w:rPr>
          <w:rFonts w:cs="Arial"/>
          <w:b/>
        </w:rPr>
        <w:t xml:space="preserve">: </w:t>
      </w:r>
      <w:r w:rsidRPr="000B0C8C">
        <w:rPr>
          <w:rFonts w:cs="Arial"/>
        </w:rPr>
        <w:t xml:space="preserve"> Homeless prevention services and emergency housing assistance are both needs-based emergency services that are often difficult to project from year to year, resulting in an overestimation of the number of clients to be assisted by several project sponsors.  Some project sponsors also overestimated the number of clients they will assist with case </w:t>
      </w:r>
      <w:r w:rsidR="00AE79C4">
        <w:rPr>
          <w:rFonts w:cs="Arial"/>
        </w:rPr>
        <w:t>management.</w:t>
      </w:r>
    </w:p>
    <w:p w14:paraId="09FB342F" w14:textId="77777777" w:rsidR="00074C30" w:rsidRDefault="00021D4B" w:rsidP="00074C30">
      <w:pPr>
        <w:spacing w:after="100" w:afterAutospacing="1"/>
        <w:rPr>
          <w:rFonts w:cs="Arial"/>
        </w:rPr>
      </w:pPr>
      <w:r w:rsidRPr="00BE5F38">
        <w:rPr>
          <w:rFonts w:cs="Arial"/>
          <w:u w:val="single"/>
        </w:rPr>
        <w:t>Discuss how these outcomes will impact future annual action plans</w:t>
      </w:r>
      <w:r w:rsidRPr="00BE5F38">
        <w:rPr>
          <w:rFonts w:cs="Arial"/>
        </w:rPr>
        <w:t>.</w:t>
      </w:r>
    </w:p>
    <w:p w14:paraId="050DB12A" w14:textId="77777777" w:rsidR="000624FE" w:rsidRPr="000B0C8C" w:rsidRDefault="00021D4B" w:rsidP="00074C30">
      <w:pPr>
        <w:spacing w:before="100" w:beforeAutospacing="1" w:after="100" w:afterAutospacing="1"/>
        <w:rPr>
          <w:rFonts w:cs="Arial"/>
        </w:rPr>
      </w:pPr>
      <w:r w:rsidRPr="000B0C8C">
        <w:rPr>
          <w:rFonts w:cs="Arial"/>
        </w:rPr>
        <w:t xml:space="preserve">No future anticipated impacts at this time. </w:t>
      </w:r>
      <w:r w:rsidR="00074C30">
        <w:rPr>
          <w:rFonts w:cs="Arial"/>
        </w:rPr>
        <w:t xml:space="preserve"> </w:t>
      </w:r>
      <w:r w:rsidRPr="000B0C8C">
        <w:rPr>
          <w:rFonts w:cs="Arial"/>
        </w:rPr>
        <w:t xml:space="preserve">The </w:t>
      </w:r>
      <w:r w:rsidR="007A2E3F">
        <w:rPr>
          <w:rFonts w:cs="Arial"/>
        </w:rPr>
        <w:t>S</w:t>
      </w:r>
      <w:r w:rsidR="00592B04" w:rsidRPr="000B0C8C">
        <w:rPr>
          <w:rFonts w:cs="Arial"/>
        </w:rPr>
        <w:t xml:space="preserve">tate </w:t>
      </w:r>
      <w:r w:rsidRPr="000B0C8C">
        <w:rPr>
          <w:rFonts w:cs="Arial"/>
        </w:rPr>
        <w:t>will continue to try to assist in all acti</w:t>
      </w:r>
      <w:r w:rsidR="00074C30">
        <w:rPr>
          <w:rFonts w:cs="Arial"/>
        </w:rPr>
        <w:t xml:space="preserve">vity areas based on local needs, </w:t>
      </w:r>
      <w:r w:rsidRPr="000B0C8C">
        <w:rPr>
          <w:rFonts w:cs="Arial"/>
        </w:rPr>
        <w:t>priorities</w:t>
      </w:r>
      <w:r w:rsidR="00074C30">
        <w:rPr>
          <w:rFonts w:cs="Arial"/>
        </w:rPr>
        <w:t xml:space="preserve"> and funding availability.</w:t>
      </w:r>
    </w:p>
    <w:p w14:paraId="795253AC" w14:textId="77777777" w:rsidR="004905D3" w:rsidRDefault="004905D3">
      <w:pPr>
        <w:rPr>
          <w:b/>
          <w:u w:val="single"/>
        </w:rPr>
      </w:pPr>
      <w:r>
        <w:rPr>
          <w:b/>
          <w:u w:val="single"/>
        </w:rPr>
        <w:br w:type="page"/>
      </w:r>
    </w:p>
    <w:p w14:paraId="6660EF42" w14:textId="77777777" w:rsidR="004905D3" w:rsidRDefault="004905D3" w:rsidP="00A75B72">
      <w:pPr>
        <w:rPr>
          <w:b/>
          <w:u w:val="single"/>
        </w:rPr>
      </w:pPr>
    </w:p>
    <w:p w14:paraId="2FC7A7E5" w14:textId="041A9193" w:rsidR="00255C43" w:rsidRDefault="004905D3" w:rsidP="00A75B72">
      <w:pPr>
        <w:rPr>
          <w:b/>
          <w:u w:val="single"/>
        </w:rPr>
      </w:pPr>
      <w:r w:rsidRPr="004905D3">
        <w:rPr>
          <w:b/>
          <w:u w:val="single"/>
        </w:rPr>
        <w:t>Include the number of extremely low-income, low-income, and moderate-income persons served by each activity where information on income by family size is required to determine the eligibility of the activity</w:t>
      </w:r>
      <w:r>
        <w:rPr>
          <w:b/>
          <w:u w:val="single"/>
        </w:rPr>
        <w:t>:</w:t>
      </w:r>
    </w:p>
    <w:p w14:paraId="0A4F69AE" w14:textId="77777777" w:rsidR="0052616D" w:rsidRPr="004905D3" w:rsidRDefault="0052616D" w:rsidP="00A75B72">
      <w:pPr>
        <w:rPr>
          <w:b/>
          <w:u w:val="single"/>
        </w:rPr>
      </w:pPr>
    </w:p>
    <w:tbl>
      <w:tblPr>
        <w:tblStyle w:val="GridTable4-Accent3"/>
        <w:tblW w:w="5000" w:type="pct"/>
        <w:tblLayout w:type="fixed"/>
        <w:tblLook w:val="01E0" w:firstRow="1" w:lastRow="1" w:firstColumn="1" w:lastColumn="1" w:noHBand="0" w:noVBand="0"/>
      </w:tblPr>
      <w:tblGrid>
        <w:gridCol w:w="5087"/>
        <w:gridCol w:w="4650"/>
        <w:gridCol w:w="4653"/>
      </w:tblGrid>
      <w:tr w:rsidR="00B16717" w14:paraId="01A8BDFB" w14:textId="77777777" w:rsidTr="00B16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6" w:type="dxa"/>
          </w:tcPr>
          <w:p w14:paraId="1980CBC5" w14:textId="77777777" w:rsidR="00B16717" w:rsidRPr="00B16717" w:rsidRDefault="00B16717" w:rsidP="00757E30">
            <w:pPr>
              <w:keepNext/>
              <w:widowControl w:val="0"/>
              <w:jc w:val="center"/>
            </w:pPr>
            <w:r w:rsidRPr="00B16717">
              <w:t>Number  of Persons Served</w:t>
            </w:r>
          </w:p>
        </w:tc>
        <w:tc>
          <w:tcPr>
            <w:cnfStyle w:val="000010000000" w:firstRow="0" w:lastRow="0" w:firstColumn="0" w:lastColumn="0" w:oddVBand="1" w:evenVBand="0" w:oddHBand="0" w:evenHBand="0" w:firstRowFirstColumn="0" w:firstRowLastColumn="0" w:lastRowFirstColumn="0" w:lastRowLastColumn="0"/>
            <w:tcW w:w="3094" w:type="dxa"/>
          </w:tcPr>
          <w:p w14:paraId="7D15F44B" w14:textId="77777777" w:rsidR="00B16717" w:rsidRPr="00B16717" w:rsidRDefault="00B16717" w:rsidP="00757E30">
            <w:pPr>
              <w:keepNext/>
              <w:widowControl w:val="0"/>
              <w:jc w:val="center"/>
            </w:pPr>
            <w:r w:rsidRPr="00B16717">
              <w:t>CDBG Actual</w:t>
            </w:r>
          </w:p>
        </w:tc>
        <w:tc>
          <w:tcPr>
            <w:cnfStyle w:val="000100000000" w:firstRow="0" w:lastRow="0" w:firstColumn="0" w:lastColumn="1" w:oddVBand="0" w:evenVBand="0" w:oddHBand="0" w:evenHBand="0" w:firstRowFirstColumn="0" w:firstRowLastColumn="0" w:lastRowFirstColumn="0" w:lastRowLastColumn="0"/>
            <w:tcW w:w="3096" w:type="dxa"/>
          </w:tcPr>
          <w:p w14:paraId="4E49D622" w14:textId="77777777" w:rsidR="00B16717" w:rsidRPr="00B16717" w:rsidRDefault="00B16717" w:rsidP="00757E30">
            <w:pPr>
              <w:keepNext/>
              <w:widowControl w:val="0"/>
              <w:jc w:val="center"/>
            </w:pPr>
            <w:r w:rsidRPr="00B16717">
              <w:t>HOME Actual</w:t>
            </w:r>
          </w:p>
        </w:tc>
      </w:tr>
      <w:tr w:rsidR="00B16717" w14:paraId="55E275CF" w14:textId="77777777" w:rsidTr="00B1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dxa"/>
          </w:tcPr>
          <w:p w14:paraId="418D01AD" w14:textId="77777777" w:rsidR="00B16717" w:rsidRPr="00262B8E" w:rsidRDefault="00B16717" w:rsidP="00757E30">
            <w:pPr>
              <w:spacing w:beforeAutospacing="1" w:afterAutospacing="1"/>
              <w:rPr>
                <w:b w:val="0"/>
              </w:rPr>
            </w:pPr>
            <w:r w:rsidRPr="00262B8E">
              <w:rPr>
                <w:b w:val="0"/>
                <w:color w:val="000000"/>
              </w:rPr>
              <w:t>Extremely Low-income</w:t>
            </w:r>
          </w:p>
        </w:tc>
        <w:tc>
          <w:tcPr>
            <w:cnfStyle w:val="000010000000" w:firstRow="0" w:lastRow="0" w:firstColumn="0" w:lastColumn="0" w:oddVBand="1" w:evenVBand="0" w:oddHBand="0" w:evenHBand="0" w:firstRowFirstColumn="0" w:firstRowLastColumn="0" w:lastRowFirstColumn="0" w:lastRowLastColumn="0"/>
            <w:tcW w:w="3099" w:type="dxa"/>
          </w:tcPr>
          <w:p w14:paraId="59862C3A" w14:textId="77777777" w:rsidR="00B16717" w:rsidRDefault="00A65AC0" w:rsidP="00925690">
            <w:pPr>
              <w:spacing w:before="100" w:beforeAutospacing="1" w:after="100" w:afterAutospacing="1"/>
              <w:jc w:val="right"/>
            </w:pPr>
            <w:r>
              <w:t>767</w:t>
            </w:r>
          </w:p>
        </w:tc>
        <w:tc>
          <w:tcPr>
            <w:cnfStyle w:val="000100000000" w:firstRow="0" w:lastRow="0" w:firstColumn="0" w:lastColumn="1" w:oddVBand="0" w:evenVBand="0" w:oddHBand="0" w:evenHBand="0" w:firstRowFirstColumn="0" w:firstRowLastColumn="0" w:lastRowFirstColumn="0" w:lastRowLastColumn="0"/>
            <w:tcW w:w="3101" w:type="dxa"/>
          </w:tcPr>
          <w:p w14:paraId="0B5BA555" w14:textId="77777777" w:rsidR="00B16717" w:rsidRPr="00B16717" w:rsidRDefault="00A65AC0" w:rsidP="00B16717">
            <w:pPr>
              <w:spacing w:before="100" w:beforeAutospacing="1" w:after="100" w:afterAutospacing="1"/>
              <w:jc w:val="right"/>
              <w:rPr>
                <w:b w:val="0"/>
              </w:rPr>
            </w:pPr>
            <w:r>
              <w:rPr>
                <w:b w:val="0"/>
              </w:rPr>
              <w:t>252</w:t>
            </w:r>
          </w:p>
        </w:tc>
      </w:tr>
      <w:tr w:rsidR="00B16717" w14:paraId="45BCD278" w14:textId="77777777" w:rsidTr="00B16717">
        <w:tc>
          <w:tcPr>
            <w:cnfStyle w:val="001000000000" w:firstRow="0" w:lastRow="0" w:firstColumn="1" w:lastColumn="0" w:oddVBand="0" w:evenVBand="0" w:oddHBand="0" w:evenHBand="0" w:firstRowFirstColumn="0" w:firstRowLastColumn="0" w:lastRowFirstColumn="0" w:lastRowLastColumn="0"/>
            <w:tcW w:w="3390" w:type="dxa"/>
          </w:tcPr>
          <w:p w14:paraId="6BCE6E6C" w14:textId="77777777" w:rsidR="00B16717" w:rsidRPr="00262B8E" w:rsidRDefault="00B16717" w:rsidP="00757E30">
            <w:pPr>
              <w:spacing w:before="100" w:beforeAutospacing="1" w:after="100" w:afterAutospacing="1"/>
              <w:rPr>
                <w:b w:val="0"/>
              </w:rPr>
            </w:pPr>
            <w:r w:rsidRPr="00262B8E">
              <w:rPr>
                <w:b w:val="0"/>
                <w:color w:val="000000"/>
              </w:rPr>
              <w:t>Low-income</w:t>
            </w:r>
          </w:p>
        </w:tc>
        <w:tc>
          <w:tcPr>
            <w:cnfStyle w:val="000010000000" w:firstRow="0" w:lastRow="0" w:firstColumn="0" w:lastColumn="0" w:oddVBand="1" w:evenVBand="0" w:oddHBand="0" w:evenHBand="0" w:firstRowFirstColumn="0" w:firstRowLastColumn="0" w:lastRowFirstColumn="0" w:lastRowLastColumn="0"/>
            <w:tcW w:w="3099" w:type="dxa"/>
          </w:tcPr>
          <w:p w14:paraId="696F1879" w14:textId="77777777" w:rsidR="00B16717" w:rsidRDefault="00A65AC0" w:rsidP="00B16717">
            <w:pPr>
              <w:spacing w:before="100" w:beforeAutospacing="1" w:after="100" w:afterAutospacing="1"/>
              <w:jc w:val="right"/>
            </w:pPr>
            <w:r>
              <w:t>357</w:t>
            </w:r>
          </w:p>
        </w:tc>
        <w:tc>
          <w:tcPr>
            <w:cnfStyle w:val="000100000000" w:firstRow="0" w:lastRow="0" w:firstColumn="0" w:lastColumn="1" w:oddVBand="0" w:evenVBand="0" w:oddHBand="0" w:evenHBand="0" w:firstRowFirstColumn="0" w:firstRowLastColumn="0" w:lastRowFirstColumn="0" w:lastRowLastColumn="0"/>
            <w:tcW w:w="3101" w:type="dxa"/>
          </w:tcPr>
          <w:p w14:paraId="660AC1E1" w14:textId="77777777" w:rsidR="00B16717" w:rsidRPr="00B16717" w:rsidRDefault="00A65AC0" w:rsidP="00757E30">
            <w:pPr>
              <w:spacing w:beforeAutospacing="1" w:afterAutospacing="1"/>
              <w:jc w:val="right"/>
              <w:rPr>
                <w:b w:val="0"/>
              </w:rPr>
            </w:pPr>
            <w:r>
              <w:rPr>
                <w:b w:val="0"/>
              </w:rPr>
              <w:t>244</w:t>
            </w:r>
          </w:p>
        </w:tc>
      </w:tr>
      <w:tr w:rsidR="00B16717" w14:paraId="5D0F5B46" w14:textId="77777777" w:rsidTr="00B1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dxa"/>
          </w:tcPr>
          <w:p w14:paraId="77E3177D" w14:textId="77777777" w:rsidR="00B16717" w:rsidRPr="00262B8E" w:rsidRDefault="00B16717" w:rsidP="00B16717">
            <w:pPr>
              <w:spacing w:before="100" w:beforeAutospacing="1" w:after="100" w:afterAutospacing="1"/>
              <w:rPr>
                <w:b w:val="0"/>
              </w:rPr>
            </w:pPr>
            <w:r w:rsidRPr="00262B8E">
              <w:rPr>
                <w:b w:val="0"/>
                <w:color w:val="000000"/>
              </w:rPr>
              <w:t>Moderate-income</w:t>
            </w:r>
          </w:p>
        </w:tc>
        <w:tc>
          <w:tcPr>
            <w:cnfStyle w:val="000010000000" w:firstRow="0" w:lastRow="0" w:firstColumn="0" w:lastColumn="0" w:oddVBand="1" w:evenVBand="0" w:oddHBand="0" w:evenHBand="0" w:firstRowFirstColumn="0" w:firstRowLastColumn="0" w:lastRowFirstColumn="0" w:lastRowLastColumn="0"/>
            <w:tcW w:w="3099" w:type="dxa"/>
          </w:tcPr>
          <w:p w14:paraId="5E0904B4" w14:textId="77777777" w:rsidR="00B16717" w:rsidRDefault="00A65AC0" w:rsidP="00B16717">
            <w:pPr>
              <w:spacing w:before="100" w:beforeAutospacing="1" w:after="100" w:afterAutospacing="1"/>
              <w:jc w:val="right"/>
            </w:pPr>
            <w:r>
              <w:t>35,493</w:t>
            </w:r>
          </w:p>
        </w:tc>
        <w:tc>
          <w:tcPr>
            <w:cnfStyle w:val="000100000000" w:firstRow="0" w:lastRow="0" w:firstColumn="0" w:lastColumn="1" w:oddVBand="0" w:evenVBand="0" w:oddHBand="0" w:evenHBand="0" w:firstRowFirstColumn="0" w:firstRowLastColumn="0" w:lastRowFirstColumn="0" w:lastRowLastColumn="0"/>
            <w:tcW w:w="3101" w:type="dxa"/>
          </w:tcPr>
          <w:p w14:paraId="1B06559E" w14:textId="77777777" w:rsidR="00B16717" w:rsidRPr="00B16717" w:rsidRDefault="00A65AC0" w:rsidP="00B16717">
            <w:pPr>
              <w:spacing w:beforeAutospacing="1" w:afterAutospacing="1"/>
              <w:jc w:val="right"/>
              <w:rPr>
                <w:b w:val="0"/>
              </w:rPr>
            </w:pPr>
            <w:r>
              <w:rPr>
                <w:b w:val="0"/>
              </w:rPr>
              <w:t>154</w:t>
            </w:r>
          </w:p>
        </w:tc>
      </w:tr>
      <w:tr w:rsidR="00B16717" w14:paraId="304768AA" w14:textId="77777777" w:rsidTr="00B1671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dxa"/>
          </w:tcPr>
          <w:p w14:paraId="312D7435" w14:textId="77777777" w:rsidR="00B16717" w:rsidRPr="00262B8E" w:rsidRDefault="00B16717" w:rsidP="00757E30">
            <w:pPr>
              <w:spacing w:beforeAutospacing="1" w:afterAutospacing="1"/>
            </w:pPr>
            <w:r w:rsidRPr="00262B8E">
              <w:rPr>
                <w:color w:val="000000"/>
              </w:rPr>
              <w:t>Total</w:t>
            </w:r>
          </w:p>
        </w:tc>
        <w:tc>
          <w:tcPr>
            <w:cnfStyle w:val="000010000000" w:firstRow="0" w:lastRow="0" w:firstColumn="0" w:lastColumn="0" w:oddVBand="1" w:evenVBand="0" w:oddHBand="0" w:evenHBand="0" w:firstRowFirstColumn="0" w:firstRowLastColumn="0" w:lastRowFirstColumn="0" w:lastRowLastColumn="0"/>
            <w:tcW w:w="3099" w:type="dxa"/>
          </w:tcPr>
          <w:p w14:paraId="37CFDEAF" w14:textId="77777777" w:rsidR="00B16717" w:rsidRDefault="00A65AC0" w:rsidP="00757E30">
            <w:pPr>
              <w:spacing w:beforeAutospacing="1" w:afterAutospacing="1"/>
              <w:jc w:val="right"/>
            </w:pPr>
            <w:r>
              <w:t>36,617</w:t>
            </w:r>
          </w:p>
        </w:tc>
        <w:tc>
          <w:tcPr>
            <w:cnfStyle w:val="000100000000" w:firstRow="0" w:lastRow="0" w:firstColumn="0" w:lastColumn="1" w:oddVBand="0" w:evenVBand="0" w:oddHBand="0" w:evenHBand="0" w:firstRowFirstColumn="0" w:firstRowLastColumn="0" w:lastRowFirstColumn="0" w:lastRowLastColumn="0"/>
            <w:tcW w:w="3101" w:type="dxa"/>
          </w:tcPr>
          <w:p w14:paraId="3C9EB9B7" w14:textId="77777777" w:rsidR="00B16717" w:rsidRDefault="00A65AC0" w:rsidP="00B16717">
            <w:pPr>
              <w:spacing w:beforeAutospacing="1" w:afterAutospacing="1"/>
              <w:jc w:val="right"/>
            </w:pPr>
            <w:r>
              <w:t>650</w:t>
            </w:r>
          </w:p>
        </w:tc>
      </w:tr>
    </w:tbl>
    <w:p w14:paraId="3E870AAA" w14:textId="77777777" w:rsidR="00B16717" w:rsidRDefault="00B16717" w:rsidP="00B16717">
      <w:pPr>
        <w:pStyle w:val="Caption"/>
        <w:jc w:val="center"/>
        <w:rPr>
          <w:rFonts w:ascii="Arial" w:hAnsi="Arial" w:cs="Arial"/>
          <w:sz w:val="16"/>
        </w:rPr>
      </w:pPr>
      <w:r w:rsidRPr="00B16717">
        <w:rPr>
          <w:rFonts w:ascii="Arial" w:hAnsi="Arial" w:cs="Arial"/>
          <w:sz w:val="16"/>
        </w:rPr>
        <w:t xml:space="preserve">Table </w:t>
      </w:r>
      <w:r w:rsidR="000B0C8C">
        <w:rPr>
          <w:rFonts w:ascii="Arial" w:hAnsi="Arial" w:cs="Arial"/>
          <w:sz w:val="16"/>
        </w:rPr>
        <w:t>12</w:t>
      </w:r>
      <w:r w:rsidRPr="00B16717">
        <w:rPr>
          <w:rFonts w:ascii="Arial" w:hAnsi="Arial" w:cs="Arial"/>
          <w:sz w:val="16"/>
        </w:rPr>
        <w:t xml:space="preserve"> – Number of Persons Served</w:t>
      </w:r>
    </w:p>
    <w:p w14:paraId="5DB0EB7B" w14:textId="77777777" w:rsidR="0031344F" w:rsidRDefault="0031344F" w:rsidP="00021D4B">
      <w:pPr>
        <w:widowControl w:val="0"/>
        <w:spacing w:line="204" w:lineRule="auto"/>
        <w:rPr>
          <w:b/>
          <w:i/>
          <w:szCs w:val="24"/>
          <w:u w:val="single"/>
        </w:rPr>
      </w:pPr>
    </w:p>
    <w:p w14:paraId="6746B1B6" w14:textId="77777777" w:rsidR="00021D4B" w:rsidRPr="0031344F" w:rsidRDefault="0031344F" w:rsidP="00021D4B">
      <w:pPr>
        <w:widowControl w:val="0"/>
        <w:spacing w:line="204" w:lineRule="auto"/>
        <w:rPr>
          <w:b/>
          <w:i/>
          <w:color w:val="22384E" w:themeColor="accent3" w:themeShade="80"/>
          <w:szCs w:val="24"/>
          <w:u w:val="single"/>
        </w:rPr>
      </w:pPr>
      <w:r w:rsidRPr="0031344F">
        <w:rPr>
          <w:b/>
          <w:i/>
          <w:szCs w:val="24"/>
          <w:u w:val="single"/>
        </w:rPr>
        <w:t>NARRATIVE</w:t>
      </w:r>
    </w:p>
    <w:p w14:paraId="1E1C7FC4" w14:textId="77777777" w:rsidR="00021D4B" w:rsidRPr="000B0C8C" w:rsidRDefault="00021D4B" w:rsidP="001B6725">
      <w:pPr>
        <w:spacing w:before="100" w:beforeAutospacing="1" w:after="100" w:afterAutospacing="1"/>
        <w:rPr>
          <w:rFonts w:cs="Arial"/>
        </w:rPr>
      </w:pPr>
      <w:r w:rsidRPr="000B0C8C">
        <w:rPr>
          <w:rFonts w:cs="Arial"/>
        </w:rPr>
        <w:t xml:space="preserve">The numbers above are consistent with the income targeting of each of these program’s primary activities. </w:t>
      </w:r>
      <w:r w:rsidR="00255C43">
        <w:rPr>
          <w:rFonts w:cs="Arial"/>
        </w:rPr>
        <w:t xml:space="preserve"> The Community Development Block Grant Program’s (CDBG)</w:t>
      </w:r>
      <w:r w:rsidRPr="000B0C8C">
        <w:rPr>
          <w:rFonts w:cs="Arial"/>
        </w:rPr>
        <w:t xml:space="preserve"> primary </w:t>
      </w:r>
      <w:r w:rsidR="00AE79C4">
        <w:rPr>
          <w:rFonts w:cs="Arial"/>
        </w:rPr>
        <w:t>applicant activi</w:t>
      </w:r>
      <w:r w:rsidR="001C4CF2">
        <w:rPr>
          <w:rFonts w:cs="Arial"/>
        </w:rPr>
        <w:t>ti</w:t>
      </w:r>
      <w:r w:rsidR="00AE79C4">
        <w:rPr>
          <w:rFonts w:cs="Arial"/>
        </w:rPr>
        <w:t xml:space="preserve">es were </w:t>
      </w:r>
      <w:r w:rsidRPr="000B0C8C">
        <w:rPr>
          <w:rFonts w:cs="Arial"/>
        </w:rPr>
        <w:t xml:space="preserve">public facilities/infrastructure, public services, and homeownership, activities </w:t>
      </w:r>
      <w:r w:rsidR="001B6725" w:rsidRPr="000B0C8C">
        <w:rPr>
          <w:rFonts w:cs="Arial"/>
        </w:rPr>
        <w:t>that</w:t>
      </w:r>
      <w:r w:rsidRPr="000B0C8C">
        <w:rPr>
          <w:rFonts w:cs="Arial"/>
        </w:rPr>
        <w:t xml:space="preserve"> primarily serve low and moderate-income individuals.</w:t>
      </w:r>
      <w:r w:rsidR="00255C43">
        <w:rPr>
          <w:rFonts w:cs="Arial"/>
        </w:rPr>
        <w:t xml:space="preserve"> </w:t>
      </w:r>
      <w:r w:rsidRPr="000B0C8C">
        <w:rPr>
          <w:rFonts w:cs="Arial"/>
        </w:rPr>
        <w:t xml:space="preserve"> </w:t>
      </w:r>
      <w:r w:rsidR="00255C43">
        <w:rPr>
          <w:rFonts w:cs="Arial"/>
        </w:rPr>
        <w:t>The HOME Investment Partnership Program’s (</w:t>
      </w:r>
      <w:r w:rsidRPr="000B0C8C">
        <w:rPr>
          <w:rFonts w:cs="Arial"/>
        </w:rPr>
        <w:t>HOME</w:t>
      </w:r>
      <w:r w:rsidR="00255C43">
        <w:rPr>
          <w:rFonts w:cs="Arial"/>
        </w:rPr>
        <w:t>)</w:t>
      </w:r>
      <w:r w:rsidRPr="000B0C8C">
        <w:rPr>
          <w:rFonts w:cs="Arial"/>
        </w:rPr>
        <w:t xml:space="preserve"> largest share of funds is used for rental housing production, which primarily serves low and extremely-low income households. </w:t>
      </w:r>
    </w:p>
    <w:p w14:paraId="465E4437" w14:textId="77777777" w:rsidR="008734C1" w:rsidRDefault="008734C1">
      <w:pPr>
        <w:rPr>
          <w:rFonts w:cs="Arial"/>
          <w:b/>
          <w:bCs/>
          <w:color w:val="335375" w:themeColor="accent3" w:themeShade="BF"/>
          <w:sz w:val="28"/>
          <w:szCs w:val="28"/>
          <w:u w:val="single"/>
        </w:rPr>
      </w:pPr>
      <w:r>
        <w:rPr>
          <w:rFonts w:cs="Arial"/>
          <w:b/>
          <w:bCs/>
          <w:color w:val="335375" w:themeColor="accent3" w:themeShade="BF"/>
          <w:sz w:val="28"/>
          <w:szCs w:val="28"/>
          <w:u w:val="single"/>
        </w:rPr>
        <w:br w:type="page"/>
      </w:r>
    </w:p>
    <w:p w14:paraId="296BCCCC" w14:textId="77777777" w:rsidR="006150E1" w:rsidRPr="0031344F" w:rsidRDefault="006150E1" w:rsidP="006150E1">
      <w:pPr>
        <w:pStyle w:val="Default"/>
        <w:jc w:val="center"/>
        <w:rPr>
          <w:rFonts w:ascii="Arial" w:hAnsi="Arial" w:cs="Arial"/>
          <w:b/>
          <w:bCs/>
          <w:color w:val="335375" w:themeColor="accent3" w:themeShade="BF"/>
          <w:sz w:val="28"/>
          <w:szCs w:val="28"/>
          <w:u w:val="single"/>
        </w:rPr>
      </w:pPr>
      <w:r w:rsidRPr="0031344F">
        <w:rPr>
          <w:rFonts w:ascii="Arial" w:hAnsi="Arial" w:cs="Arial"/>
          <w:b/>
          <w:bCs/>
          <w:color w:val="335375" w:themeColor="accent3" w:themeShade="BF"/>
          <w:sz w:val="28"/>
          <w:szCs w:val="28"/>
          <w:u w:val="single"/>
        </w:rPr>
        <w:lastRenderedPageBreak/>
        <w:t>CR-25 Homeless and Other Special Needs</w:t>
      </w:r>
    </w:p>
    <w:p w14:paraId="279C6748" w14:textId="77777777" w:rsidR="006150E1" w:rsidRPr="006150E1" w:rsidRDefault="006150E1" w:rsidP="006150E1">
      <w:pPr>
        <w:pStyle w:val="Default"/>
        <w:rPr>
          <w:rFonts w:ascii="Arial" w:hAnsi="Arial" w:cs="Arial"/>
        </w:rPr>
      </w:pPr>
    </w:p>
    <w:p w14:paraId="3632FF56" w14:textId="1F4138D1" w:rsidR="004905D3" w:rsidRDefault="006150E1" w:rsidP="004905D3">
      <w:pPr>
        <w:rPr>
          <w:rFonts w:cs="Arial"/>
          <w:i/>
          <w:color w:val="87A9CB" w:themeColor="accent3" w:themeTint="99"/>
          <w:sz w:val="22"/>
          <w:szCs w:val="24"/>
        </w:rPr>
      </w:pPr>
      <w:r w:rsidRPr="00936F6D">
        <w:rPr>
          <w:rFonts w:cs="Arial"/>
          <w:i/>
          <w:color w:val="87A9CB" w:themeColor="accent3" w:themeTint="99"/>
          <w:sz w:val="22"/>
          <w:szCs w:val="24"/>
        </w:rPr>
        <w:t>Regulation Citation(s): 24 CFR 91.220(d, e), 91.320 (d, e), 91.420, 91.520(c)</w:t>
      </w:r>
    </w:p>
    <w:p w14:paraId="242D7262" w14:textId="77777777" w:rsidR="0052616D" w:rsidRDefault="0052616D" w:rsidP="004905D3">
      <w:pPr>
        <w:rPr>
          <w:rFonts w:cs="Arial"/>
          <w:color w:val="335375" w:themeColor="accent3" w:themeShade="BF"/>
          <w:szCs w:val="24"/>
        </w:rPr>
      </w:pPr>
    </w:p>
    <w:p w14:paraId="53EB4BAB" w14:textId="5945A64F" w:rsidR="0052616D" w:rsidRPr="00D3577E" w:rsidRDefault="0052616D" w:rsidP="0052616D">
      <w:pPr>
        <w:widowControl w:val="0"/>
        <w:spacing w:after="100" w:afterAutospacing="1"/>
        <w:jc w:val="center"/>
        <w:rPr>
          <w:i/>
          <w:color w:val="FF0000"/>
        </w:rPr>
      </w:pPr>
      <w:r w:rsidRPr="0052616D">
        <w:rPr>
          <w:b/>
          <w:i/>
        </w:rPr>
        <w:t xml:space="preserve">Please note: </w:t>
      </w:r>
      <w:r>
        <w:rPr>
          <w:i/>
          <w:color w:val="FF0000"/>
        </w:rPr>
        <w:t>The data in this narrative</w:t>
      </w:r>
      <w:r w:rsidRPr="00E17F11">
        <w:rPr>
          <w:i/>
          <w:color w:val="FF0000"/>
        </w:rPr>
        <w:t xml:space="preserve"> section </w:t>
      </w:r>
      <w:r>
        <w:rPr>
          <w:i/>
          <w:color w:val="FF0000"/>
        </w:rPr>
        <w:t>will be updated as</w:t>
      </w:r>
      <w:r w:rsidRPr="00E17F11">
        <w:rPr>
          <w:i/>
          <w:color w:val="FF0000"/>
        </w:rPr>
        <w:t xml:space="preserve"> relevant data </w:t>
      </w:r>
      <w:r>
        <w:rPr>
          <w:i/>
          <w:color w:val="FF0000"/>
        </w:rPr>
        <w:t>becomes</w:t>
      </w:r>
      <w:r w:rsidRPr="00E17F11">
        <w:rPr>
          <w:i/>
          <w:color w:val="FF0000"/>
        </w:rPr>
        <w:t xml:space="preserve"> available</w:t>
      </w:r>
      <w:r w:rsidRPr="004B2A96">
        <w:rPr>
          <w:i/>
        </w:rPr>
        <w:t>.</w:t>
      </w:r>
      <w:r>
        <w:rPr>
          <w:i/>
        </w:rPr>
        <w:t xml:space="preserve">  </w:t>
      </w:r>
      <w:r w:rsidRPr="00D3577E">
        <w:rPr>
          <w:i/>
          <w:color w:val="FF0000"/>
        </w:rPr>
        <w:t xml:space="preserve">Where data is currently not available X’s have been used to represent where data is missing.  </w:t>
      </w:r>
    </w:p>
    <w:p w14:paraId="39C222F1" w14:textId="77777777" w:rsidR="008C0553" w:rsidRPr="004905D3" w:rsidRDefault="008C0553" w:rsidP="004905D3">
      <w:pPr>
        <w:rPr>
          <w:rFonts w:cs="Arial"/>
          <w:b/>
          <w:i/>
          <w:color w:val="87A9CB" w:themeColor="accent3" w:themeTint="99"/>
          <w:sz w:val="22"/>
          <w:szCs w:val="24"/>
        </w:rPr>
      </w:pPr>
      <w:r w:rsidRPr="004905D3">
        <w:rPr>
          <w:rFonts w:cs="Arial"/>
          <w:b/>
          <w:szCs w:val="24"/>
          <w:u w:val="single"/>
        </w:rPr>
        <w:t>Evaluate the jurisdiction’s progress in meeting its specific objectives for reducing and ending homelessness through:</w:t>
      </w:r>
    </w:p>
    <w:p w14:paraId="67C34433" w14:textId="77777777" w:rsidR="008C0553" w:rsidRDefault="008C0553" w:rsidP="008C0553">
      <w:pPr>
        <w:shd w:val="clear" w:color="auto" w:fill="FFFFFF"/>
        <w:spacing w:after="0" w:line="240" w:lineRule="auto"/>
        <w:rPr>
          <w:rFonts w:cs="Arial"/>
          <w:b/>
          <w:i/>
          <w:color w:val="002060"/>
        </w:rPr>
      </w:pPr>
    </w:p>
    <w:p w14:paraId="491C51C3" w14:textId="77777777" w:rsidR="0061724A" w:rsidRPr="00C303FD" w:rsidRDefault="0061724A" w:rsidP="00C303FD">
      <w:pPr>
        <w:pStyle w:val="ListParagraph"/>
        <w:widowControl w:val="0"/>
        <w:numPr>
          <w:ilvl w:val="0"/>
          <w:numId w:val="15"/>
        </w:numPr>
        <w:rPr>
          <w:szCs w:val="24"/>
          <w:u w:val="single"/>
        </w:rPr>
      </w:pPr>
      <w:r w:rsidRPr="00C303FD">
        <w:rPr>
          <w:szCs w:val="24"/>
          <w:u w:val="single"/>
        </w:rPr>
        <w:t>Reaching out to homeless persons (especially unsheltered persons) and assessing their individual needs</w:t>
      </w:r>
    </w:p>
    <w:p w14:paraId="5E797BA2" w14:textId="2078E9E0" w:rsidR="0061724A" w:rsidRPr="0052616D" w:rsidRDefault="00255C43" w:rsidP="000437F5">
      <w:pPr>
        <w:widowControl w:val="0"/>
        <w:spacing w:before="100" w:beforeAutospacing="1" w:after="100" w:afterAutospacing="1"/>
        <w:ind w:left="720"/>
        <w:rPr>
          <w:rFonts w:cs="Arial"/>
        </w:rPr>
      </w:pPr>
      <w:r>
        <w:rPr>
          <w:rFonts w:cs="Arial"/>
        </w:rPr>
        <w:t>Program funds for Emergency Solution</w:t>
      </w:r>
      <w:r w:rsidR="00F96ADC">
        <w:rPr>
          <w:rFonts w:cs="Arial"/>
        </w:rPr>
        <w:t>s</w:t>
      </w:r>
      <w:r>
        <w:rPr>
          <w:rFonts w:cs="Arial"/>
        </w:rPr>
        <w:t xml:space="preserve"> Grant (</w:t>
      </w:r>
      <w:r w:rsidR="0061724A" w:rsidRPr="00255C43">
        <w:rPr>
          <w:rFonts w:cs="Arial"/>
        </w:rPr>
        <w:t>ESG</w:t>
      </w:r>
      <w:r>
        <w:rPr>
          <w:rFonts w:cs="Arial"/>
        </w:rPr>
        <w:t>)</w:t>
      </w:r>
      <w:r w:rsidR="0061724A" w:rsidRPr="00255C43">
        <w:rPr>
          <w:rFonts w:cs="Arial"/>
        </w:rPr>
        <w:t xml:space="preserve"> </w:t>
      </w:r>
      <w:r>
        <w:rPr>
          <w:rFonts w:cs="Arial"/>
        </w:rPr>
        <w:t>S</w:t>
      </w:r>
      <w:r w:rsidR="0061724A" w:rsidRPr="00255C43">
        <w:rPr>
          <w:rFonts w:cs="Arial"/>
        </w:rPr>
        <w:t xml:space="preserve">treet </w:t>
      </w:r>
      <w:r w:rsidRPr="0052616D">
        <w:rPr>
          <w:rFonts w:cs="Arial"/>
        </w:rPr>
        <w:t>O</w:t>
      </w:r>
      <w:r w:rsidR="0061724A" w:rsidRPr="0052616D">
        <w:rPr>
          <w:rFonts w:cs="Arial"/>
        </w:rPr>
        <w:t xml:space="preserve">utreach </w:t>
      </w:r>
      <w:r w:rsidRPr="0052616D">
        <w:rPr>
          <w:rFonts w:cs="Arial"/>
        </w:rPr>
        <w:t xml:space="preserve">(SO) </w:t>
      </w:r>
      <w:r w:rsidR="0061724A" w:rsidRPr="0052616D">
        <w:rPr>
          <w:rFonts w:cs="Arial"/>
        </w:rPr>
        <w:t>activities</w:t>
      </w:r>
      <w:r w:rsidRPr="0052616D">
        <w:rPr>
          <w:rFonts w:cs="Arial"/>
        </w:rPr>
        <w:t xml:space="preserve"> are</w:t>
      </w:r>
      <w:r w:rsidR="0061724A" w:rsidRPr="0052616D">
        <w:rPr>
          <w:rFonts w:cs="Arial"/>
        </w:rPr>
        <w:t xml:space="preserve"> designed to engage unsheltered persons to access housing and basic </w:t>
      </w:r>
      <w:r w:rsidR="000251C6" w:rsidRPr="0052616D">
        <w:rPr>
          <w:rFonts w:cs="Arial"/>
        </w:rPr>
        <w:t>services</w:t>
      </w:r>
      <w:r w:rsidR="001D536F" w:rsidRPr="0052616D">
        <w:rPr>
          <w:rFonts w:cs="Arial"/>
        </w:rPr>
        <w:t xml:space="preserve">. </w:t>
      </w:r>
      <w:r w:rsidR="000251C6" w:rsidRPr="0052616D">
        <w:rPr>
          <w:rFonts w:cs="Arial"/>
        </w:rPr>
        <w:t xml:space="preserve"> In</w:t>
      </w:r>
      <w:r w:rsidR="0061724A" w:rsidRPr="0052616D">
        <w:rPr>
          <w:rFonts w:cs="Arial"/>
        </w:rPr>
        <w:t xml:space="preserve"> </w:t>
      </w:r>
      <w:r w:rsidR="009407B8" w:rsidRPr="0052616D">
        <w:rPr>
          <w:rFonts w:cs="Arial"/>
        </w:rPr>
        <w:t>FY 2016-17</w:t>
      </w:r>
      <w:r w:rsidR="0061724A" w:rsidRPr="0052616D">
        <w:rPr>
          <w:rFonts w:cs="Arial"/>
        </w:rPr>
        <w:t xml:space="preserve">, </w:t>
      </w:r>
      <w:r w:rsidR="003E6342" w:rsidRPr="0052616D">
        <w:rPr>
          <w:rFonts w:cs="Arial"/>
          <w:b/>
        </w:rPr>
        <w:t>XX persons</w:t>
      </w:r>
      <w:r w:rsidR="0061724A" w:rsidRPr="0052616D">
        <w:rPr>
          <w:rFonts w:cs="Arial"/>
        </w:rPr>
        <w:t xml:space="preserve"> were assi</w:t>
      </w:r>
      <w:r w:rsidRPr="0052616D">
        <w:rPr>
          <w:rFonts w:cs="Arial"/>
        </w:rPr>
        <w:t>sted with SO</w:t>
      </w:r>
      <w:r w:rsidR="0061724A" w:rsidRPr="0052616D">
        <w:rPr>
          <w:rFonts w:cs="Arial"/>
        </w:rPr>
        <w:t xml:space="preserve"> funds</w:t>
      </w:r>
      <w:r w:rsidRPr="0052616D">
        <w:rPr>
          <w:rFonts w:cs="Arial"/>
        </w:rPr>
        <w:t>.</w:t>
      </w:r>
    </w:p>
    <w:p w14:paraId="7588CEDD" w14:textId="77777777" w:rsidR="008C0553" w:rsidRPr="0052616D" w:rsidRDefault="008C0553" w:rsidP="00C303FD">
      <w:pPr>
        <w:widowControl w:val="0"/>
        <w:numPr>
          <w:ilvl w:val="0"/>
          <w:numId w:val="15"/>
        </w:numPr>
        <w:spacing w:after="0" w:line="240" w:lineRule="auto"/>
        <w:contextualSpacing/>
        <w:rPr>
          <w:rFonts w:cs="Arial"/>
          <w:szCs w:val="24"/>
          <w:u w:val="single"/>
        </w:rPr>
      </w:pPr>
      <w:r w:rsidRPr="0052616D">
        <w:rPr>
          <w:rFonts w:cs="Arial"/>
          <w:szCs w:val="24"/>
          <w:u w:val="single"/>
        </w:rPr>
        <w:t>Addressing the emergency shelter and transitional housing needs of homeless persons</w:t>
      </w:r>
    </w:p>
    <w:p w14:paraId="1C74EC66" w14:textId="77777777" w:rsidR="0061724A" w:rsidRPr="0052616D" w:rsidRDefault="0061724A" w:rsidP="000437F5">
      <w:pPr>
        <w:widowControl w:val="0"/>
        <w:spacing w:before="100" w:beforeAutospacing="1" w:after="100" w:afterAutospacing="1"/>
        <w:ind w:left="720"/>
        <w:rPr>
          <w:rFonts w:cs="Arial"/>
        </w:rPr>
      </w:pPr>
      <w:r w:rsidRPr="0052616D">
        <w:rPr>
          <w:rFonts w:cs="Arial"/>
          <w:b/>
        </w:rPr>
        <w:t xml:space="preserve">ESG: </w:t>
      </w:r>
      <w:r w:rsidR="00255C43" w:rsidRPr="0052616D">
        <w:rPr>
          <w:rFonts w:cs="Arial"/>
          <w:b/>
        </w:rPr>
        <w:t xml:space="preserve"> </w:t>
      </w:r>
      <w:r w:rsidRPr="0052616D">
        <w:rPr>
          <w:rFonts w:cs="Arial"/>
        </w:rPr>
        <w:t xml:space="preserve">The ESG program continues to fund a number of </w:t>
      </w:r>
      <w:r w:rsidR="00255C43" w:rsidRPr="0052616D">
        <w:rPr>
          <w:rFonts w:cs="Arial"/>
        </w:rPr>
        <w:t>Emergency Shelter (ES) programs that</w:t>
      </w:r>
      <w:r w:rsidRPr="0052616D">
        <w:rPr>
          <w:rFonts w:cs="Arial"/>
        </w:rPr>
        <w:t xml:space="preserve"> provide short-term shelter and supportive services to homeless individuals and families while affordable permanent</w:t>
      </w:r>
      <w:r w:rsidR="00255C43" w:rsidRPr="0052616D">
        <w:rPr>
          <w:rFonts w:cs="Arial"/>
        </w:rPr>
        <w:t xml:space="preserve"> housing is being sought out.  </w:t>
      </w:r>
      <w:r w:rsidRPr="0052616D">
        <w:rPr>
          <w:rFonts w:cs="Arial"/>
        </w:rPr>
        <w:t xml:space="preserve">In </w:t>
      </w:r>
      <w:r w:rsidR="009407B8" w:rsidRPr="0052616D">
        <w:rPr>
          <w:rFonts w:cs="Arial"/>
        </w:rPr>
        <w:t>FY 2016-17</w:t>
      </w:r>
      <w:r w:rsidRPr="0052616D">
        <w:rPr>
          <w:rFonts w:cs="Arial"/>
        </w:rPr>
        <w:t xml:space="preserve">, </w:t>
      </w:r>
      <w:r w:rsidR="00255C43" w:rsidRPr="0052616D">
        <w:rPr>
          <w:rFonts w:cs="Arial"/>
          <w:b/>
        </w:rPr>
        <w:t xml:space="preserve">X,XXX </w:t>
      </w:r>
      <w:r w:rsidRPr="0052616D">
        <w:rPr>
          <w:rFonts w:cs="Arial"/>
          <w:b/>
        </w:rPr>
        <w:t xml:space="preserve">persons </w:t>
      </w:r>
      <w:r w:rsidRPr="0052616D">
        <w:rPr>
          <w:rFonts w:cs="Arial"/>
        </w:rPr>
        <w:t xml:space="preserve">were assisted with </w:t>
      </w:r>
      <w:r w:rsidR="00255C43" w:rsidRPr="0052616D">
        <w:rPr>
          <w:rFonts w:cs="Arial"/>
        </w:rPr>
        <w:t xml:space="preserve">ES </w:t>
      </w:r>
      <w:r w:rsidRPr="0052616D">
        <w:rPr>
          <w:rFonts w:cs="Arial"/>
        </w:rPr>
        <w:t>funds.</w:t>
      </w:r>
    </w:p>
    <w:p w14:paraId="4C9DBF20" w14:textId="77777777" w:rsidR="008C0553" w:rsidRPr="0052616D" w:rsidRDefault="0061724A" w:rsidP="00C303FD">
      <w:pPr>
        <w:shd w:val="clear" w:color="auto" w:fill="FFFFFF"/>
        <w:ind w:left="720"/>
        <w:rPr>
          <w:rFonts w:cs="Arial"/>
          <w:szCs w:val="24"/>
        </w:rPr>
      </w:pPr>
      <w:r w:rsidRPr="0052616D">
        <w:rPr>
          <w:rFonts w:cs="Arial"/>
          <w:b/>
          <w:szCs w:val="24"/>
        </w:rPr>
        <w:t xml:space="preserve">HOPWA: </w:t>
      </w:r>
      <w:r w:rsidR="00255C43" w:rsidRPr="0052616D">
        <w:rPr>
          <w:rFonts w:cs="Arial"/>
          <w:b/>
          <w:szCs w:val="24"/>
        </w:rPr>
        <w:t xml:space="preserve"> </w:t>
      </w:r>
      <w:r w:rsidR="008C0553" w:rsidRPr="0052616D">
        <w:rPr>
          <w:rFonts w:cs="Arial"/>
          <w:szCs w:val="24"/>
        </w:rPr>
        <w:t xml:space="preserve">To address homelessness among </w:t>
      </w:r>
      <w:r w:rsidR="00255C43" w:rsidRPr="0052616D">
        <w:rPr>
          <w:rFonts w:cs="Arial"/>
          <w:szCs w:val="24"/>
        </w:rPr>
        <w:t>P</w:t>
      </w:r>
      <w:r w:rsidR="008C0553" w:rsidRPr="0052616D">
        <w:rPr>
          <w:rFonts w:cs="Arial"/>
          <w:szCs w:val="24"/>
        </w:rPr>
        <w:t xml:space="preserve">ersons </w:t>
      </w:r>
      <w:r w:rsidR="00255C43" w:rsidRPr="0052616D">
        <w:rPr>
          <w:rFonts w:cs="Arial"/>
          <w:szCs w:val="24"/>
        </w:rPr>
        <w:t>L</w:t>
      </w:r>
      <w:r w:rsidR="008C0553" w:rsidRPr="0052616D">
        <w:rPr>
          <w:rFonts w:cs="Arial"/>
          <w:szCs w:val="24"/>
        </w:rPr>
        <w:t>iving with HIV/AIDS (PLWH)</w:t>
      </w:r>
      <w:r w:rsidR="00A75B72" w:rsidRPr="0052616D">
        <w:rPr>
          <w:rFonts w:cs="Arial"/>
          <w:szCs w:val="24"/>
        </w:rPr>
        <w:t>, the</w:t>
      </w:r>
      <w:r w:rsidR="008C0553" w:rsidRPr="0052616D">
        <w:rPr>
          <w:rFonts w:cs="Arial"/>
          <w:szCs w:val="24"/>
        </w:rPr>
        <w:t xml:space="preserve"> </w:t>
      </w:r>
      <w:r w:rsidR="00255C43" w:rsidRPr="0052616D">
        <w:rPr>
          <w:rFonts w:cs="Arial"/>
          <w:szCs w:val="24"/>
        </w:rPr>
        <w:t>Housing Opportunities for Persons with AIDS (</w:t>
      </w:r>
      <w:r w:rsidR="008C0553" w:rsidRPr="0052616D">
        <w:rPr>
          <w:rFonts w:cs="Arial"/>
          <w:szCs w:val="24"/>
        </w:rPr>
        <w:t>HOPWA</w:t>
      </w:r>
      <w:r w:rsidR="00255C43" w:rsidRPr="0052616D">
        <w:rPr>
          <w:rFonts w:cs="Arial"/>
          <w:szCs w:val="24"/>
        </w:rPr>
        <w:t>)</w:t>
      </w:r>
      <w:r w:rsidR="008C0553" w:rsidRPr="0052616D">
        <w:rPr>
          <w:rFonts w:cs="Arial"/>
          <w:szCs w:val="24"/>
        </w:rPr>
        <w:t xml:space="preserve"> funds two agencies that provide transitional housing facilities for homeless PLWH.</w:t>
      </w:r>
      <w:r w:rsidR="00255C43" w:rsidRPr="0052616D">
        <w:rPr>
          <w:rFonts w:cs="Arial"/>
          <w:szCs w:val="24"/>
        </w:rPr>
        <w:t xml:space="preserve"> </w:t>
      </w:r>
      <w:r w:rsidR="008C0553" w:rsidRPr="0052616D">
        <w:rPr>
          <w:rFonts w:cs="Arial"/>
          <w:szCs w:val="24"/>
        </w:rPr>
        <w:t xml:space="preserve"> In addition, eight project sponsors provide hotel/motel voucher assistance (</w:t>
      </w:r>
      <w:r w:rsidR="00255C43" w:rsidRPr="0052616D">
        <w:rPr>
          <w:rFonts w:cs="Arial"/>
          <w:szCs w:val="24"/>
        </w:rPr>
        <w:t>ES</w:t>
      </w:r>
      <w:r w:rsidR="008C0553" w:rsidRPr="0052616D">
        <w:rPr>
          <w:rFonts w:cs="Arial"/>
          <w:szCs w:val="24"/>
        </w:rPr>
        <w:t>) to clients while they assist them in locating more stable housing.  All HOPWA project sponsors work with homeless PLWH to link them to homeless services within their communities.</w:t>
      </w:r>
      <w:r w:rsidR="008C0553" w:rsidRPr="0052616D">
        <w:rPr>
          <w:rStyle w:val="Strong"/>
          <w:rFonts w:cs="Arial"/>
          <w:szCs w:val="24"/>
        </w:rPr>
        <w:t xml:space="preserve">  </w:t>
      </w:r>
    </w:p>
    <w:p w14:paraId="5AB9FFB2" w14:textId="77777777" w:rsidR="0061724A" w:rsidRPr="0052616D" w:rsidRDefault="008C0553" w:rsidP="00C303FD">
      <w:pPr>
        <w:pStyle w:val="ListParagraph"/>
        <w:widowControl w:val="0"/>
        <w:numPr>
          <w:ilvl w:val="0"/>
          <w:numId w:val="15"/>
        </w:numPr>
        <w:spacing w:after="0" w:line="240" w:lineRule="auto"/>
        <w:rPr>
          <w:rFonts w:cs="Arial"/>
          <w:szCs w:val="24"/>
          <w:u w:val="single"/>
        </w:rPr>
      </w:pPr>
      <w:r w:rsidRPr="0052616D">
        <w:rPr>
          <w:rFonts w:cs="Arial"/>
          <w:szCs w:val="24"/>
          <w:u w:val="single"/>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2C933E09" w14:textId="77777777" w:rsidR="0061724A" w:rsidRPr="0052616D" w:rsidRDefault="0061724A" w:rsidP="00A75B72">
      <w:pPr>
        <w:widowControl w:val="0"/>
        <w:spacing w:before="100" w:beforeAutospacing="1" w:after="100" w:afterAutospacing="1"/>
        <w:ind w:left="720"/>
        <w:rPr>
          <w:rFonts w:cs="Arial"/>
        </w:rPr>
      </w:pPr>
      <w:r w:rsidRPr="0052616D">
        <w:rPr>
          <w:rFonts w:cs="Arial"/>
          <w:u w:val="single"/>
        </w:rPr>
        <w:t>General Population</w:t>
      </w:r>
      <w:r w:rsidRPr="0052616D">
        <w:rPr>
          <w:rFonts w:cs="Arial"/>
        </w:rPr>
        <w:t>:</w:t>
      </w:r>
      <w:r w:rsidR="00255C43" w:rsidRPr="0052616D">
        <w:rPr>
          <w:rFonts w:cs="Arial"/>
        </w:rPr>
        <w:t xml:space="preserve">  The ESG program funds Rapid Re</w:t>
      </w:r>
      <w:r w:rsidRPr="0052616D">
        <w:rPr>
          <w:rFonts w:cs="Arial"/>
        </w:rPr>
        <w:t xml:space="preserve">housing </w:t>
      </w:r>
      <w:r w:rsidR="00255C43" w:rsidRPr="0052616D">
        <w:rPr>
          <w:rFonts w:cs="Arial"/>
        </w:rPr>
        <w:t xml:space="preserve">(RR) </w:t>
      </w:r>
      <w:r w:rsidRPr="0052616D">
        <w:rPr>
          <w:rFonts w:cs="Arial"/>
        </w:rPr>
        <w:t xml:space="preserve">and homelessness prevention programs which provide short and medium-term rental assistance and supportive services to homeless and individuals and families and those at risk of </w:t>
      </w:r>
      <w:r w:rsidRPr="0052616D">
        <w:rPr>
          <w:rFonts w:cs="Arial"/>
        </w:rPr>
        <w:lastRenderedPageBreak/>
        <w:t>homelessness so that they can access and maintain affordable, suitable housing.  </w:t>
      </w:r>
      <w:r w:rsidR="00255C43" w:rsidRPr="0052616D">
        <w:rPr>
          <w:rFonts w:cs="Arial"/>
        </w:rPr>
        <w:t xml:space="preserve"> </w:t>
      </w:r>
      <w:r w:rsidRPr="0052616D">
        <w:rPr>
          <w:rFonts w:cs="Arial"/>
        </w:rPr>
        <w:t xml:space="preserve">In </w:t>
      </w:r>
      <w:r w:rsidR="009407B8" w:rsidRPr="0052616D">
        <w:rPr>
          <w:rFonts w:cs="Arial"/>
        </w:rPr>
        <w:t>FY 2016-17</w:t>
      </w:r>
      <w:r w:rsidRPr="0052616D">
        <w:rPr>
          <w:rFonts w:cs="Arial"/>
        </w:rPr>
        <w:t xml:space="preserve">, </w:t>
      </w:r>
      <w:r w:rsidR="00B23AD3" w:rsidRPr="0052616D">
        <w:rPr>
          <w:rFonts w:cs="Arial"/>
          <w:b/>
        </w:rPr>
        <w:t>X,XXX</w:t>
      </w:r>
      <w:r w:rsidRPr="0052616D">
        <w:rPr>
          <w:rFonts w:cs="Arial"/>
          <w:b/>
        </w:rPr>
        <w:t xml:space="preserve"> households</w:t>
      </w:r>
      <w:r w:rsidRPr="0052616D">
        <w:rPr>
          <w:rFonts w:cs="Arial"/>
        </w:rPr>
        <w:t xml:space="preserve"> were assisted with R</w:t>
      </w:r>
      <w:r w:rsidR="00255C43" w:rsidRPr="0052616D">
        <w:rPr>
          <w:rFonts w:cs="Arial"/>
        </w:rPr>
        <w:t xml:space="preserve">R </w:t>
      </w:r>
      <w:r w:rsidRPr="0052616D">
        <w:rPr>
          <w:rFonts w:cs="Arial"/>
        </w:rPr>
        <w:t>funds.</w:t>
      </w:r>
    </w:p>
    <w:p w14:paraId="27BFA81A" w14:textId="1905F297" w:rsidR="0061724A" w:rsidRPr="00C303FD" w:rsidRDefault="0061724A" w:rsidP="00F81C86">
      <w:pPr>
        <w:widowControl w:val="0"/>
        <w:spacing w:before="100" w:beforeAutospacing="1" w:after="100" w:afterAutospacing="1"/>
        <w:ind w:left="720"/>
        <w:rPr>
          <w:rFonts w:cs="Arial"/>
        </w:rPr>
      </w:pPr>
      <w:r w:rsidRPr="0052616D">
        <w:rPr>
          <w:rFonts w:cs="Arial"/>
          <w:u w:val="single"/>
        </w:rPr>
        <w:t>Veterans</w:t>
      </w:r>
      <w:r w:rsidRPr="0052616D">
        <w:rPr>
          <w:rFonts w:cs="Arial"/>
        </w:rPr>
        <w:t xml:space="preserve">: </w:t>
      </w:r>
      <w:r w:rsidR="00255C43" w:rsidRPr="0052616D">
        <w:rPr>
          <w:rFonts w:cs="Arial"/>
        </w:rPr>
        <w:t xml:space="preserve"> </w:t>
      </w:r>
      <w:r w:rsidRPr="0052616D">
        <w:rPr>
          <w:rFonts w:cs="Arial"/>
        </w:rPr>
        <w:t xml:space="preserve">As noted above, the </w:t>
      </w:r>
      <w:r w:rsidR="00592B04" w:rsidRPr="0052616D">
        <w:rPr>
          <w:rFonts w:cs="Arial"/>
        </w:rPr>
        <w:t xml:space="preserve">state </w:t>
      </w:r>
      <w:r w:rsidRPr="0052616D">
        <w:rPr>
          <w:rFonts w:cs="Arial"/>
        </w:rPr>
        <w:t xml:space="preserve">is implementing several different programs designed to assist homeless persons, including chronically homeless individuals and families, families with children, veterans and their families, and unaccompanied youth access permanent housing. </w:t>
      </w:r>
      <w:r w:rsidR="00255C43" w:rsidRPr="0052616D">
        <w:rPr>
          <w:rFonts w:cs="Arial"/>
        </w:rPr>
        <w:t xml:space="preserve"> </w:t>
      </w:r>
      <w:r w:rsidRPr="0052616D">
        <w:rPr>
          <w:rFonts w:cs="Arial"/>
        </w:rPr>
        <w:t xml:space="preserve">The </w:t>
      </w:r>
      <w:r w:rsidR="00033DA1" w:rsidRPr="0052616D">
        <w:rPr>
          <w:rFonts w:cs="Arial"/>
          <w:b/>
        </w:rPr>
        <w:t>$570 million</w:t>
      </w:r>
      <w:r w:rsidR="00033DA1" w:rsidRPr="0052616D">
        <w:rPr>
          <w:rFonts w:cs="Arial"/>
        </w:rPr>
        <w:t xml:space="preserve"> in </w:t>
      </w:r>
      <w:r w:rsidRPr="0052616D">
        <w:rPr>
          <w:rFonts w:cs="Arial"/>
        </w:rPr>
        <w:t>Veterans Housing and Homelessness Prevention Program (VHHP)</w:t>
      </w:r>
      <w:r w:rsidR="00033DA1" w:rsidRPr="0052616D">
        <w:rPr>
          <w:rFonts w:cs="Arial"/>
        </w:rPr>
        <w:t xml:space="preserve"> </w:t>
      </w:r>
      <w:r w:rsidRPr="0052616D">
        <w:rPr>
          <w:rFonts w:cs="Arial"/>
        </w:rPr>
        <w:t xml:space="preserve">incentivizes developers to partner with Local Continuums of Care, the federal Veterans Administration, and others in developing "low-barrier" housing practices that target supportive housing developed with these funds to Veterans most in need who are least likely to access and maintain housing on their own.  To date, </w:t>
      </w:r>
      <w:r w:rsidRPr="0052616D">
        <w:rPr>
          <w:rFonts w:cs="Arial"/>
          <w:b/>
        </w:rPr>
        <w:t>$</w:t>
      </w:r>
      <w:r w:rsidR="00033DA1" w:rsidRPr="0052616D">
        <w:rPr>
          <w:rFonts w:cs="Arial"/>
          <w:b/>
        </w:rPr>
        <w:t>252,227,478</w:t>
      </w:r>
      <w:r w:rsidRPr="0052616D">
        <w:rPr>
          <w:rFonts w:cs="Arial"/>
        </w:rPr>
        <w:t xml:space="preserve"> in VHHP funds have been</w:t>
      </w:r>
      <w:r w:rsidRPr="00C303FD">
        <w:rPr>
          <w:rFonts w:cs="Arial"/>
        </w:rPr>
        <w:t xml:space="preserve"> awarded.   See the </w:t>
      </w:r>
      <w:hyperlink r:id="rId13" w:history="1">
        <w:r w:rsidR="0052616D" w:rsidRPr="0052616D">
          <w:rPr>
            <w:rStyle w:val="Hyperlink"/>
            <w:rFonts w:cs="Arial"/>
            <w:color w:val="3333FF"/>
          </w:rPr>
          <w:t>http://www.hcd.ca.gov/grants-funding/active-funding/vhhp/docs/VHHP-Award-Data-Summary.pdf</w:t>
        </w:r>
      </w:hyperlink>
      <w:r w:rsidR="0052616D" w:rsidRPr="0052616D">
        <w:rPr>
          <w:rFonts w:cs="Arial"/>
          <w:color w:val="3333FF"/>
        </w:rPr>
        <w:t xml:space="preserve"> </w:t>
      </w:r>
      <w:r w:rsidRPr="0052616D">
        <w:rPr>
          <w:rFonts w:cs="Arial"/>
        </w:rPr>
        <w:t>Data</w:t>
      </w:r>
      <w:r w:rsidRPr="0052616D">
        <w:rPr>
          <w:rFonts w:cs="Arial"/>
          <w:color w:val="3333FF"/>
        </w:rPr>
        <w:t xml:space="preserve"> </w:t>
      </w:r>
      <w:r w:rsidRPr="00C303FD">
        <w:rPr>
          <w:rFonts w:cs="Arial"/>
        </w:rPr>
        <w:t>Summary for more information.</w:t>
      </w:r>
    </w:p>
    <w:p w14:paraId="7EA0B632" w14:textId="32F971C6" w:rsidR="0061724A" w:rsidRPr="00C303FD" w:rsidRDefault="0061724A" w:rsidP="00CF1266">
      <w:pPr>
        <w:widowControl w:val="0"/>
        <w:spacing w:before="100" w:beforeAutospacing="1" w:after="100" w:afterAutospacing="1"/>
        <w:ind w:left="720"/>
        <w:rPr>
          <w:rFonts w:cs="Arial"/>
        </w:rPr>
      </w:pPr>
      <w:r w:rsidRPr="00C303FD">
        <w:rPr>
          <w:rFonts w:cs="Arial"/>
          <w:u w:val="single"/>
        </w:rPr>
        <w:t>Families with Children</w:t>
      </w:r>
      <w:r w:rsidRPr="00C303FD">
        <w:rPr>
          <w:rFonts w:cs="Arial"/>
        </w:rPr>
        <w:t xml:space="preserve">:  The State Department of Social Services </w:t>
      </w:r>
      <w:r w:rsidR="00255C43">
        <w:rPr>
          <w:rFonts w:cs="Arial"/>
        </w:rPr>
        <w:t xml:space="preserve">(DSS) </w:t>
      </w:r>
      <w:r w:rsidRPr="00C303FD">
        <w:rPr>
          <w:rFonts w:cs="Arial"/>
        </w:rPr>
        <w:t xml:space="preserve">has received additional </w:t>
      </w:r>
      <w:r w:rsidR="00592B04" w:rsidRPr="00C303FD">
        <w:rPr>
          <w:rFonts w:cs="Arial"/>
        </w:rPr>
        <w:t xml:space="preserve">state </w:t>
      </w:r>
      <w:r w:rsidRPr="00C303FD">
        <w:rPr>
          <w:rFonts w:cs="Arial"/>
        </w:rPr>
        <w:t>funds</w:t>
      </w:r>
      <w:r w:rsidRPr="00C303FD">
        <w:rPr>
          <w:rFonts w:cs="Arial"/>
          <w:b/>
        </w:rPr>
        <w:t xml:space="preserve"> </w:t>
      </w:r>
      <w:r w:rsidRPr="00C303FD">
        <w:rPr>
          <w:rFonts w:cs="Arial"/>
        </w:rPr>
        <w:t xml:space="preserve">to provide CalWORKs families with limited-term rental assistance to help them access permanent housing or avoid eviction. See </w:t>
      </w:r>
      <w:hyperlink r:id="rId14" w:history="1">
        <w:r w:rsidR="0052616D" w:rsidRPr="0052616D">
          <w:rPr>
            <w:rStyle w:val="Hyperlink"/>
            <w:rFonts w:cs="Arial"/>
            <w:color w:val="3333FF"/>
          </w:rPr>
          <w:t>http://www.cdss.ca.gov/CalWORKS</w:t>
        </w:r>
        <w:r w:rsidRPr="0052616D">
          <w:rPr>
            <w:rStyle w:val="Hyperlink"/>
            <w:rFonts w:cs="Arial"/>
            <w:color w:val="3333FF"/>
          </w:rPr>
          <w:t>.</w:t>
        </w:r>
      </w:hyperlink>
    </w:p>
    <w:p w14:paraId="767AAAAD" w14:textId="77777777" w:rsidR="00C303FD" w:rsidRPr="00C303FD" w:rsidRDefault="008C0553" w:rsidP="00C303FD">
      <w:pPr>
        <w:shd w:val="clear" w:color="auto" w:fill="FFFFFF"/>
        <w:ind w:left="720"/>
        <w:rPr>
          <w:rFonts w:cs="Arial"/>
          <w:szCs w:val="24"/>
        </w:rPr>
      </w:pPr>
      <w:r w:rsidRPr="00C303FD">
        <w:rPr>
          <w:rFonts w:cs="Arial"/>
          <w:b/>
          <w:szCs w:val="24"/>
        </w:rPr>
        <w:t>HOPWA</w:t>
      </w:r>
      <w:r w:rsidR="00C80D55">
        <w:rPr>
          <w:rFonts w:cs="Arial"/>
          <w:b/>
          <w:szCs w:val="24"/>
        </w:rPr>
        <w:t>:</w:t>
      </w:r>
      <w:r w:rsidRPr="00C303FD">
        <w:rPr>
          <w:rFonts w:cs="Arial"/>
          <w:szCs w:val="24"/>
        </w:rPr>
        <w:t xml:space="preserve"> </w:t>
      </w:r>
      <w:r w:rsidR="00C80D55">
        <w:rPr>
          <w:rFonts w:cs="Arial"/>
          <w:szCs w:val="24"/>
        </w:rPr>
        <w:t>P</w:t>
      </w:r>
      <w:r w:rsidRPr="00C303FD">
        <w:rPr>
          <w:rFonts w:cs="Arial"/>
          <w:szCs w:val="24"/>
        </w:rPr>
        <w:t>rojec</w:t>
      </w:r>
      <w:r w:rsidR="00C22636">
        <w:rPr>
          <w:rFonts w:cs="Arial"/>
          <w:szCs w:val="24"/>
        </w:rPr>
        <w:t>t sponsors continue to provide S</w:t>
      </w:r>
      <w:r w:rsidRPr="00C303FD">
        <w:rPr>
          <w:rFonts w:cs="Arial"/>
          <w:szCs w:val="24"/>
        </w:rPr>
        <w:t>hor</w:t>
      </w:r>
      <w:r w:rsidR="00C22636">
        <w:rPr>
          <w:rFonts w:cs="Arial"/>
          <w:szCs w:val="24"/>
        </w:rPr>
        <w:t>t-term Rent, M</w:t>
      </w:r>
      <w:r w:rsidRPr="00C303FD">
        <w:rPr>
          <w:rFonts w:cs="Arial"/>
          <w:szCs w:val="24"/>
        </w:rPr>
        <w:t xml:space="preserve">ortgage, and </w:t>
      </w:r>
      <w:r w:rsidR="00C22636">
        <w:rPr>
          <w:rFonts w:cs="Arial"/>
          <w:szCs w:val="24"/>
        </w:rPr>
        <w:t>Utility assistance (STRMU), Tenant Based Rental A</w:t>
      </w:r>
      <w:r w:rsidRPr="00C303FD">
        <w:rPr>
          <w:rFonts w:cs="Arial"/>
          <w:szCs w:val="24"/>
        </w:rPr>
        <w:t xml:space="preserve">ssistance (TBRA), and housing placement assistance to households at risk of homelessness, including households that have recently experienced homelessness. </w:t>
      </w:r>
      <w:r w:rsidR="00C22636">
        <w:rPr>
          <w:rFonts w:cs="Arial"/>
          <w:szCs w:val="24"/>
        </w:rPr>
        <w:t xml:space="preserve"> </w:t>
      </w:r>
      <w:r w:rsidRPr="00C303FD">
        <w:rPr>
          <w:rFonts w:cs="Arial"/>
          <w:szCs w:val="24"/>
        </w:rPr>
        <w:t>HOPWA project sponsors collaborate with other local HIV/AIDS and community service agencies to link clients to other needed services to improve housing stability and health outcomes.</w:t>
      </w:r>
    </w:p>
    <w:p w14:paraId="5AF29B45" w14:textId="77777777" w:rsidR="008C0553" w:rsidRPr="00C303FD" w:rsidRDefault="008C0553" w:rsidP="00C303FD">
      <w:pPr>
        <w:pStyle w:val="ListParagraph"/>
        <w:widowControl w:val="0"/>
        <w:numPr>
          <w:ilvl w:val="0"/>
          <w:numId w:val="15"/>
        </w:numPr>
        <w:spacing w:after="0" w:line="240" w:lineRule="auto"/>
        <w:rPr>
          <w:rFonts w:cs="Arial"/>
          <w:b/>
          <w:szCs w:val="24"/>
          <w:u w:val="single"/>
        </w:rPr>
      </w:pPr>
      <w:r w:rsidRPr="00C303FD">
        <w:rPr>
          <w:rFonts w:cs="Arial"/>
          <w:szCs w:val="24"/>
          <w:u w:val="single"/>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283B799D" w14:textId="77777777" w:rsidR="0061724A" w:rsidRPr="003D517D" w:rsidRDefault="0061724A" w:rsidP="00877468">
      <w:pPr>
        <w:widowControl w:val="0"/>
        <w:spacing w:before="100" w:beforeAutospacing="1" w:after="100" w:afterAutospacing="1"/>
        <w:ind w:left="720"/>
        <w:rPr>
          <w:rFonts w:cs="Arial"/>
        </w:rPr>
      </w:pPr>
      <w:r w:rsidRPr="009B5D49">
        <w:rPr>
          <w:rFonts w:cs="Arial"/>
          <w:color w:val="002060"/>
        </w:rPr>
        <w:t xml:space="preserve">In </w:t>
      </w:r>
      <w:r w:rsidRPr="003D517D">
        <w:rPr>
          <w:rFonts w:cs="Arial"/>
        </w:rPr>
        <w:t xml:space="preserve">addition to the programs discussed above, the following additional programs provide assistance with homelessness prevention activities, particularly for persons leaving </w:t>
      </w:r>
      <w:r w:rsidR="00864699" w:rsidRPr="003D517D">
        <w:rPr>
          <w:rFonts w:cs="Arial"/>
        </w:rPr>
        <w:t>publicly funded</w:t>
      </w:r>
      <w:r w:rsidRPr="003D517D">
        <w:rPr>
          <w:rFonts w:cs="Arial"/>
        </w:rPr>
        <w:t xml:space="preserve"> institutions and systems of care.</w:t>
      </w:r>
    </w:p>
    <w:p w14:paraId="0CB543D2" w14:textId="77777777" w:rsidR="00A75B72" w:rsidRDefault="0061724A" w:rsidP="001D536F">
      <w:pPr>
        <w:spacing w:before="100" w:beforeAutospacing="1" w:after="100" w:afterAutospacing="1"/>
        <w:ind w:left="720"/>
        <w:rPr>
          <w:rFonts w:cs="Arial"/>
          <w:szCs w:val="24"/>
        </w:rPr>
      </w:pPr>
      <w:r w:rsidRPr="00C22636">
        <w:rPr>
          <w:rFonts w:cs="Arial"/>
          <w:b/>
          <w:u w:val="single"/>
        </w:rPr>
        <w:t>Section 811 Project Rental Assistance (PRA) Program</w:t>
      </w:r>
      <w:r w:rsidRPr="003D517D">
        <w:rPr>
          <w:rFonts w:cs="Arial"/>
        </w:rPr>
        <w:t xml:space="preserve">: </w:t>
      </w:r>
      <w:r w:rsidR="00A75B72">
        <w:rPr>
          <w:rFonts w:cs="Arial"/>
          <w:szCs w:val="24"/>
        </w:rPr>
        <w:t>The PRA program provide</w:t>
      </w:r>
      <w:r w:rsidR="00C80D55">
        <w:rPr>
          <w:rFonts w:cs="Arial"/>
          <w:szCs w:val="24"/>
        </w:rPr>
        <w:t>s</w:t>
      </w:r>
      <w:r w:rsidR="00A75B72">
        <w:rPr>
          <w:rFonts w:cs="Arial"/>
          <w:szCs w:val="24"/>
        </w:rPr>
        <w:t xml:space="preserve"> five-year renewable rental assistance to Medicaid beneficiaries ages 18-61 who are homeless or are exiting Medicaid-funded long-term health care facilities, such as nursing homes and intermediate care facilities, or those who are at risk of returning to these institutions because that lack affordable </w:t>
      </w:r>
      <w:r w:rsidR="00A75B72" w:rsidRPr="00A74C36">
        <w:rPr>
          <w:rFonts w:cs="Arial"/>
          <w:szCs w:val="24"/>
        </w:rPr>
        <w:t>housing with long-term services and support.  To date the program has awarded </w:t>
      </w:r>
      <w:r w:rsidR="00A75B72" w:rsidRPr="001D536F">
        <w:rPr>
          <w:rFonts w:cs="Arial"/>
          <w:b/>
          <w:szCs w:val="24"/>
        </w:rPr>
        <w:t>$ 7.1 million</w:t>
      </w:r>
      <w:r w:rsidR="00A75B72" w:rsidRPr="00A74C36">
        <w:rPr>
          <w:rFonts w:cs="Arial"/>
          <w:szCs w:val="24"/>
        </w:rPr>
        <w:t xml:space="preserve"> to </w:t>
      </w:r>
      <w:r w:rsidR="00A75B72" w:rsidRPr="001D536F">
        <w:rPr>
          <w:rFonts w:cs="Arial"/>
          <w:b/>
          <w:szCs w:val="24"/>
        </w:rPr>
        <w:t>14 projects</w:t>
      </w:r>
      <w:r w:rsidR="00A75B72" w:rsidRPr="00A74C36">
        <w:rPr>
          <w:rFonts w:cs="Arial"/>
          <w:szCs w:val="24"/>
        </w:rPr>
        <w:t xml:space="preserve"> to </w:t>
      </w:r>
      <w:r w:rsidR="00A75B72" w:rsidRPr="00A74C36">
        <w:rPr>
          <w:rFonts w:cs="Arial"/>
          <w:szCs w:val="24"/>
        </w:rPr>
        <w:lastRenderedPageBreak/>
        <w:t xml:space="preserve">provide an estimated </w:t>
      </w:r>
      <w:r w:rsidR="00A75B72" w:rsidRPr="001D536F">
        <w:rPr>
          <w:rFonts w:cs="Arial"/>
          <w:b/>
          <w:szCs w:val="24"/>
        </w:rPr>
        <w:t>163 units</w:t>
      </w:r>
      <w:r w:rsidR="00A75B72" w:rsidRPr="00A74C36">
        <w:rPr>
          <w:rFonts w:cs="Arial"/>
          <w:szCs w:val="24"/>
        </w:rPr>
        <w:t xml:space="preserve"> assisted with 811 funds. For more information, see </w:t>
      </w:r>
      <w:hyperlink r:id="rId15" w:history="1">
        <w:r w:rsidR="00A75B72" w:rsidRPr="0063570A">
          <w:rPr>
            <w:rStyle w:val="Hyperlink"/>
            <w:rFonts w:cs="Arial"/>
            <w:color w:val="0000FF"/>
            <w:szCs w:val="24"/>
          </w:rPr>
          <w:t>http://www.calhfa.ca.gov/multifamily/section811/index.htm</w:t>
        </w:r>
      </w:hyperlink>
      <w:r w:rsidR="00C80D55">
        <w:rPr>
          <w:rStyle w:val="Hyperlink"/>
          <w:rFonts w:cs="Arial"/>
          <w:color w:val="0000FF"/>
          <w:szCs w:val="24"/>
        </w:rPr>
        <w:t>.</w:t>
      </w:r>
    </w:p>
    <w:p w14:paraId="20F78337" w14:textId="77777777" w:rsidR="008C0553" w:rsidRPr="004905D3" w:rsidRDefault="0061724A" w:rsidP="004905D3">
      <w:pPr>
        <w:widowControl w:val="0"/>
        <w:spacing w:before="100" w:beforeAutospacing="1" w:after="100" w:afterAutospacing="1"/>
        <w:ind w:left="720"/>
      </w:pPr>
      <w:r w:rsidRPr="001F161B">
        <w:rPr>
          <w:rFonts w:cs="Arial"/>
          <w:b/>
          <w:u w:val="single"/>
        </w:rPr>
        <w:t xml:space="preserve">No Place Like Home </w:t>
      </w:r>
      <w:r w:rsidR="00EC2693">
        <w:rPr>
          <w:rFonts w:cs="Arial"/>
          <w:b/>
          <w:u w:val="single"/>
        </w:rPr>
        <w:t xml:space="preserve">(NPLH) </w:t>
      </w:r>
      <w:r w:rsidRPr="001F161B">
        <w:rPr>
          <w:rFonts w:cs="Arial"/>
          <w:b/>
          <w:u w:val="single"/>
        </w:rPr>
        <w:t>Program</w:t>
      </w:r>
      <w:r w:rsidRPr="003D517D">
        <w:rPr>
          <w:rFonts w:cs="Arial"/>
          <w:u w:val="single"/>
        </w:rPr>
        <w:t>:</w:t>
      </w:r>
      <w:r w:rsidRPr="003D517D">
        <w:rPr>
          <w:rFonts w:cs="Arial"/>
        </w:rPr>
        <w:t xml:space="preserve">  </w:t>
      </w:r>
      <w:r w:rsidR="00A74C36">
        <w:t xml:space="preserve"> During FY 2016-2017, the</w:t>
      </w:r>
      <w:r w:rsidR="00EC2693">
        <w:t xml:space="preserve"> Department of</w:t>
      </w:r>
      <w:r w:rsidR="00A74C36">
        <w:t xml:space="preserve"> Housing and Community Development </w:t>
      </w:r>
      <w:r w:rsidR="00EC2693">
        <w:t>(</w:t>
      </w:r>
      <w:r w:rsidR="00A74C36">
        <w:t>Department</w:t>
      </w:r>
      <w:r w:rsidR="00EC2693">
        <w:t>)</w:t>
      </w:r>
      <w:r w:rsidR="00A74C36">
        <w:t xml:space="preserve">, in partnership with other state and local agencies, successfully developed the NPLH Program.  The NPLH Program will provide up to </w:t>
      </w:r>
      <w:r w:rsidR="00A74C36" w:rsidRPr="001D536F">
        <w:rPr>
          <w:b/>
        </w:rPr>
        <w:t>$2 billion</w:t>
      </w:r>
      <w:r w:rsidR="00A74C36">
        <w:t xml:space="preserve"> dollars for the development of permanent supportive housing for seriously mentally ill Californians who are homeless, chronically homeless</w:t>
      </w:r>
      <w:r w:rsidR="00EC2693">
        <w:t>,</w:t>
      </w:r>
      <w:r w:rsidR="00A74C36">
        <w:t xml:space="preserve"> or at-risk of chronic homelessness.  Over the course of </w:t>
      </w:r>
      <w:r w:rsidR="00EC2693">
        <w:t xml:space="preserve">FY </w:t>
      </w:r>
      <w:r w:rsidR="00A74C36">
        <w:t xml:space="preserve">2016-2017, the NPLH team engaged in a robust community outreach strategy that included two NPLH Advisory Committee meetings, </w:t>
      </w:r>
      <w:r w:rsidR="00A74C36" w:rsidRPr="001D536F">
        <w:rPr>
          <w:b/>
        </w:rPr>
        <w:t>11</w:t>
      </w:r>
      <w:r w:rsidR="00A74C36">
        <w:t xml:space="preserve"> Community Workshops throughout California and </w:t>
      </w:r>
      <w:r w:rsidR="001D536F">
        <w:t>two</w:t>
      </w:r>
      <w:r w:rsidR="00A74C36">
        <w:t xml:space="preserve"> interactive webinars.  This approach presented the opportunity for advocacy groups, housing developers, community representatives</w:t>
      </w:r>
      <w:r w:rsidR="00EC2693">
        <w:t>,</w:t>
      </w:r>
      <w:r w:rsidR="00A74C36">
        <w:t xml:space="preserve"> and mental health practitioners to help craft the program guidelines.  The result of this collaborative strategy is the completion of the Program Guidelines and the approval by the California Health Facilities Financing Authority (CHAFFA) Board t</w:t>
      </w:r>
      <w:r w:rsidR="004905D3">
        <w:t>o issue the bonds.</w:t>
      </w:r>
    </w:p>
    <w:p w14:paraId="5271AA19" w14:textId="77777777" w:rsidR="008C0553" w:rsidRPr="00C303FD" w:rsidRDefault="008C0553" w:rsidP="0067259C">
      <w:pPr>
        <w:widowControl w:val="0"/>
        <w:spacing w:before="100" w:beforeAutospacing="1" w:after="100" w:afterAutospacing="1"/>
        <w:ind w:left="720"/>
        <w:rPr>
          <w:rStyle w:val="Strong"/>
          <w:rFonts w:cs="Arial"/>
          <w:b w:val="0"/>
          <w:szCs w:val="24"/>
        </w:rPr>
      </w:pPr>
      <w:r w:rsidRPr="004905D3">
        <w:rPr>
          <w:rFonts w:cs="Arial"/>
          <w:b/>
          <w:szCs w:val="24"/>
          <w:u w:val="single"/>
        </w:rPr>
        <w:t>HOPWA</w:t>
      </w:r>
      <w:r w:rsidRPr="00C303FD">
        <w:rPr>
          <w:rFonts w:cs="Arial"/>
          <w:szCs w:val="24"/>
        </w:rPr>
        <w:t xml:space="preserve">: </w:t>
      </w:r>
      <w:r w:rsidRPr="00C303FD">
        <w:rPr>
          <w:rFonts w:cs="Arial"/>
          <w:bCs/>
          <w:szCs w:val="24"/>
        </w:rPr>
        <w:t xml:space="preserve">HOPWA services are restricted to low income PLWH for the purpose of alleviating or preventing homelessness. Approximately </w:t>
      </w:r>
      <w:r w:rsidR="00273DC9" w:rsidRPr="00273DC9">
        <w:rPr>
          <w:rFonts w:cs="Arial"/>
          <w:b/>
          <w:bCs/>
          <w:szCs w:val="24"/>
        </w:rPr>
        <w:t xml:space="preserve">62 </w:t>
      </w:r>
      <w:r w:rsidR="00A74C36" w:rsidRPr="00273DC9">
        <w:rPr>
          <w:rFonts w:cs="Arial"/>
          <w:b/>
          <w:bCs/>
          <w:szCs w:val="24"/>
        </w:rPr>
        <w:t xml:space="preserve">percent </w:t>
      </w:r>
      <w:r w:rsidR="00A74C36" w:rsidRPr="00273DC9">
        <w:rPr>
          <w:rFonts w:cs="Arial"/>
          <w:bCs/>
          <w:szCs w:val="24"/>
        </w:rPr>
        <w:t>of</w:t>
      </w:r>
      <w:r w:rsidRPr="00C303FD">
        <w:rPr>
          <w:rFonts w:cs="Arial"/>
          <w:bCs/>
          <w:szCs w:val="24"/>
        </w:rPr>
        <w:t xml:space="preserve"> clients assisted are at or below </w:t>
      </w:r>
      <w:r w:rsidRPr="001D536F">
        <w:rPr>
          <w:rFonts w:cs="Arial"/>
          <w:b/>
          <w:bCs/>
          <w:szCs w:val="24"/>
        </w:rPr>
        <w:t>30</w:t>
      </w:r>
      <w:r w:rsidR="001D536F" w:rsidRPr="001D536F">
        <w:rPr>
          <w:rFonts w:cs="Arial"/>
          <w:b/>
          <w:bCs/>
          <w:szCs w:val="24"/>
        </w:rPr>
        <w:t xml:space="preserve"> </w:t>
      </w:r>
      <w:r w:rsidR="009407B8" w:rsidRPr="001D536F">
        <w:rPr>
          <w:rFonts w:cs="Arial"/>
          <w:b/>
          <w:bCs/>
          <w:szCs w:val="24"/>
        </w:rPr>
        <w:t xml:space="preserve">percent </w:t>
      </w:r>
      <w:r w:rsidRPr="00C303FD">
        <w:rPr>
          <w:rFonts w:cs="Arial"/>
          <w:bCs/>
          <w:szCs w:val="24"/>
        </w:rPr>
        <w:t xml:space="preserve">of Area Median Income and at risk of homelessness or homeless.  Project sponsors are often the first point of contact for PLWH being discharged from </w:t>
      </w:r>
      <w:r w:rsidR="001D536F" w:rsidRPr="00C303FD">
        <w:rPr>
          <w:rFonts w:cs="Arial"/>
          <w:bCs/>
          <w:szCs w:val="24"/>
        </w:rPr>
        <w:t>publicly funded</w:t>
      </w:r>
      <w:r w:rsidRPr="00C303FD">
        <w:rPr>
          <w:rFonts w:cs="Arial"/>
          <w:bCs/>
          <w:szCs w:val="24"/>
        </w:rPr>
        <w:t xml:space="preserve"> institutions and systems of care, and are required to assess the housing and service needs of every eligible HOPWA household as part of the intake process for receiving services.  In addition to providing housing services to clients, project sponsors routinely collaborate with other local HIV/AIDS and community service agencies to link clients to other needed services.</w:t>
      </w:r>
    </w:p>
    <w:p w14:paraId="6D97681B" w14:textId="77777777" w:rsidR="00C303FD" w:rsidRDefault="00C303FD">
      <w:pPr>
        <w:rPr>
          <w:rFonts w:cs="Arial"/>
          <w:b/>
          <w:bCs/>
          <w:color w:val="335375" w:themeColor="accent3" w:themeShade="BF"/>
          <w:sz w:val="28"/>
          <w:szCs w:val="24"/>
          <w:u w:val="single"/>
        </w:rPr>
      </w:pPr>
      <w:r>
        <w:rPr>
          <w:rFonts w:cs="Arial"/>
          <w:b/>
          <w:bCs/>
          <w:color w:val="335375" w:themeColor="accent3" w:themeShade="BF"/>
          <w:sz w:val="28"/>
          <w:u w:val="single"/>
        </w:rPr>
        <w:br w:type="page"/>
      </w:r>
    </w:p>
    <w:p w14:paraId="6481CAA5" w14:textId="77777777" w:rsidR="00757E30" w:rsidRPr="00936F6D" w:rsidRDefault="00757E30" w:rsidP="00757E30">
      <w:pPr>
        <w:pStyle w:val="Default"/>
        <w:jc w:val="center"/>
        <w:rPr>
          <w:rFonts w:ascii="Arial" w:hAnsi="Arial" w:cs="Arial"/>
          <w:color w:val="335375" w:themeColor="accent3" w:themeShade="BF"/>
          <w:sz w:val="28"/>
          <w:u w:val="single"/>
        </w:rPr>
      </w:pPr>
      <w:r w:rsidRPr="00936F6D">
        <w:rPr>
          <w:rFonts w:ascii="Arial" w:hAnsi="Arial" w:cs="Arial"/>
          <w:b/>
          <w:bCs/>
          <w:color w:val="335375" w:themeColor="accent3" w:themeShade="BF"/>
          <w:sz w:val="28"/>
          <w:u w:val="single"/>
        </w:rPr>
        <w:lastRenderedPageBreak/>
        <w:t>CR-30 Public Housing</w:t>
      </w:r>
    </w:p>
    <w:p w14:paraId="6247F913" w14:textId="77777777" w:rsidR="00757E30" w:rsidRDefault="00757E30" w:rsidP="00757E30">
      <w:pPr>
        <w:rPr>
          <w:rFonts w:cs="Arial"/>
          <w:szCs w:val="24"/>
        </w:rPr>
      </w:pPr>
    </w:p>
    <w:p w14:paraId="7E2B45A2" w14:textId="77777777" w:rsidR="00757E30" w:rsidRPr="00AA2DE6" w:rsidRDefault="00757E30" w:rsidP="00757E30">
      <w:pPr>
        <w:rPr>
          <w:rFonts w:cs="Arial"/>
          <w:i/>
          <w:color w:val="87A9CB" w:themeColor="accent3" w:themeTint="99"/>
          <w:sz w:val="22"/>
          <w:szCs w:val="24"/>
        </w:rPr>
      </w:pPr>
      <w:r w:rsidRPr="00936F6D">
        <w:rPr>
          <w:rFonts w:cs="Arial"/>
          <w:i/>
          <w:color w:val="87A9CB" w:themeColor="accent3" w:themeTint="99"/>
          <w:sz w:val="22"/>
          <w:szCs w:val="24"/>
        </w:rPr>
        <w:t>Regulation Citation(s): 24 CFR 91.220(h),</w:t>
      </w:r>
      <w:r w:rsidR="00AA2DE6">
        <w:rPr>
          <w:rFonts w:cs="Arial"/>
          <w:i/>
          <w:color w:val="87A9CB" w:themeColor="accent3" w:themeTint="99"/>
          <w:sz w:val="22"/>
          <w:szCs w:val="24"/>
        </w:rPr>
        <w:t xml:space="preserve"> 91.320(j), 91.420</w:t>
      </w:r>
    </w:p>
    <w:p w14:paraId="5D1B6218" w14:textId="77777777" w:rsidR="009407B8" w:rsidRPr="004905D3" w:rsidRDefault="0061724A" w:rsidP="009407B8">
      <w:pPr>
        <w:keepNext/>
        <w:widowControl w:val="0"/>
        <w:rPr>
          <w:b/>
          <w:szCs w:val="24"/>
          <w:u w:val="single"/>
        </w:rPr>
      </w:pPr>
      <w:r w:rsidRPr="004905D3">
        <w:rPr>
          <w:b/>
          <w:szCs w:val="24"/>
          <w:u w:val="single"/>
        </w:rPr>
        <w:t>Actions taken to address the needs of public housing</w:t>
      </w:r>
    </w:p>
    <w:p w14:paraId="7E8F1180" w14:textId="77777777" w:rsidR="009407B8" w:rsidRPr="00877468" w:rsidRDefault="0061724A" w:rsidP="00877468">
      <w:pPr>
        <w:keepNext/>
        <w:widowControl w:val="0"/>
        <w:spacing w:before="100" w:beforeAutospacing="1" w:after="100" w:afterAutospacing="1"/>
        <w:rPr>
          <w:rFonts w:cs="Arial"/>
        </w:rPr>
      </w:pPr>
      <w:r w:rsidRPr="00877468">
        <w:rPr>
          <w:rFonts w:cs="Arial"/>
        </w:rPr>
        <w:t xml:space="preserve">The </w:t>
      </w:r>
      <w:r w:rsidR="00877468">
        <w:rPr>
          <w:rFonts w:cs="Arial"/>
        </w:rPr>
        <w:t>Department</w:t>
      </w:r>
      <w:r w:rsidR="00592B04" w:rsidRPr="00877468">
        <w:rPr>
          <w:rFonts w:cs="Arial"/>
        </w:rPr>
        <w:t xml:space="preserve"> </w:t>
      </w:r>
      <w:r w:rsidRPr="00877468">
        <w:rPr>
          <w:rFonts w:cs="Arial"/>
        </w:rPr>
        <w:t>does not own or operate public housing.</w:t>
      </w:r>
      <w:r w:rsidR="00877468">
        <w:rPr>
          <w:rFonts w:cs="Arial"/>
        </w:rPr>
        <w:t xml:space="preserve"> </w:t>
      </w:r>
      <w:r w:rsidRPr="00877468">
        <w:rPr>
          <w:rFonts w:cs="Arial"/>
        </w:rPr>
        <w:t xml:space="preserve"> In California, public housing is administered directly through local Public Housing Authorities (PHAs).</w:t>
      </w:r>
      <w:r w:rsidR="00877468">
        <w:rPr>
          <w:rFonts w:cs="Arial"/>
        </w:rPr>
        <w:t xml:space="preserve"> </w:t>
      </w:r>
      <w:r w:rsidRPr="00877468">
        <w:rPr>
          <w:rFonts w:cs="Arial"/>
        </w:rPr>
        <w:t xml:space="preserve"> Pursuant to HUD requirements, PHAs are not eligible to apply for CDBG, HOME, </w:t>
      </w:r>
      <w:r w:rsidR="00877468">
        <w:rPr>
          <w:rFonts w:cs="Arial"/>
        </w:rPr>
        <w:t xml:space="preserve">NHTF, </w:t>
      </w:r>
      <w:r w:rsidRPr="00877468">
        <w:rPr>
          <w:rFonts w:cs="Arial"/>
        </w:rPr>
        <w:t xml:space="preserve">ESG, HOPWA, or LHCP funds directly. </w:t>
      </w:r>
      <w:r w:rsidR="00877468">
        <w:rPr>
          <w:rFonts w:cs="Arial"/>
        </w:rPr>
        <w:t xml:space="preserve"> </w:t>
      </w:r>
      <w:r w:rsidRPr="00877468">
        <w:rPr>
          <w:rFonts w:cs="Arial"/>
        </w:rPr>
        <w:t>However, PHAs in eligible jurisdictions can work with eligible applicants to plan for the use of program funds to assist low-income tenants in their communities.</w:t>
      </w:r>
      <w:r w:rsidR="00877468">
        <w:rPr>
          <w:rFonts w:cs="Arial"/>
        </w:rPr>
        <w:t xml:space="preserve"> </w:t>
      </w:r>
      <w:r w:rsidRPr="00877468">
        <w:rPr>
          <w:rFonts w:cs="Arial"/>
        </w:rPr>
        <w:t xml:space="preserve"> PHAs in jurisdictions eligible to apply for federally-funded </w:t>
      </w:r>
      <w:r w:rsidR="00592B04" w:rsidRPr="00877468">
        <w:rPr>
          <w:rFonts w:cs="Arial"/>
        </w:rPr>
        <w:t xml:space="preserve">state </w:t>
      </w:r>
      <w:r w:rsidRPr="00877468">
        <w:rPr>
          <w:rFonts w:cs="Arial"/>
        </w:rPr>
        <w:t>programs may seek funds for eligible activities through their city or county application development process. </w:t>
      </w:r>
    </w:p>
    <w:p w14:paraId="519F5316" w14:textId="77777777" w:rsidR="009407B8" w:rsidRPr="00877468" w:rsidRDefault="0061724A" w:rsidP="009407B8">
      <w:pPr>
        <w:widowControl w:val="0"/>
        <w:rPr>
          <w:szCs w:val="24"/>
          <w:u w:val="single"/>
        </w:rPr>
      </w:pPr>
      <w:r w:rsidRPr="00877468">
        <w:rPr>
          <w:szCs w:val="24"/>
          <w:u w:val="single"/>
        </w:rPr>
        <w:t>Actions taken to encourage public housing residents to become more involved in management and participate in homeownership</w:t>
      </w:r>
    </w:p>
    <w:p w14:paraId="684348EF" w14:textId="77777777" w:rsidR="0061724A" w:rsidRPr="009407B8" w:rsidRDefault="0061724A" w:rsidP="009407B8">
      <w:pPr>
        <w:widowControl w:val="0"/>
        <w:rPr>
          <w:b/>
          <w:szCs w:val="24"/>
          <w:u w:val="single"/>
        </w:rPr>
      </w:pPr>
      <w:r w:rsidRPr="009407B8">
        <w:rPr>
          <w:rFonts w:cs="Arial"/>
        </w:rPr>
        <w:t xml:space="preserve">Since the </w:t>
      </w:r>
      <w:r w:rsidR="00DC3673">
        <w:rPr>
          <w:rFonts w:cs="Arial"/>
        </w:rPr>
        <w:t>Department</w:t>
      </w:r>
      <w:r w:rsidR="00592B04" w:rsidRPr="009407B8">
        <w:rPr>
          <w:rFonts w:cs="Arial"/>
        </w:rPr>
        <w:t xml:space="preserve"> </w:t>
      </w:r>
      <w:r w:rsidRPr="009407B8">
        <w:rPr>
          <w:rFonts w:cs="Arial"/>
        </w:rPr>
        <w:t>does not administer PHA funds, or have any oversight over PHA tenants, it has no actions directed specifically to public housing residents.</w:t>
      </w:r>
    </w:p>
    <w:p w14:paraId="7851DFC6" w14:textId="77777777" w:rsidR="0061724A" w:rsidRPr="00877468" w:rsidRDefault="0061724A" w:rsidP="009407B8">
      <w:pPr>
        <w:widowControl w:val="0"/>
        <w:rPr>
          <w:szCs w:val="24"/>
          <w:u w:val="single"/>
        </w:rPr>
      </w:pPr>
      <w:r w:rsidRPr="00877468">
        <w:rPr>
          <w:szCs w:val="24"/>
          <w:u w:val="single"/>
        </w:rPr>
        <w:t>Actions taken to provide assistance to troubled PHAs</w:t>
      </w:r>
    </w:p>
    <w:p w14:paraId="78029ECB" w14:textId="77777777" w:rsidR="0061724A" w:rsidRPr="00C303FD" w:rsidRDefault="0061724A" w:rsidP="009407B8">
      <w:pPr>
        <w:rPr>
          <w:rFonts w:cs="Arial"/>
          <w:szCs w:val="24"/>
        </w:rPr>
      </w:pPr>
      <w:r w:rsidRPr="00C303FD">
        <w:rPr>
          <w:rFonts w:cs="Arial"/>
        </w:rPr>
        <w:t xml:space="preserve">Since the </w:t>
      </w:r>
      <w:r w:rsidR="00DC3673">
        <w:rPr>
          <w:rFonts w:cs="Arial"/>
        </w:rPr>
        <w:t>Department</w:t>
      </w:r>
      <w:r w:rsidR="00592B04" w:rsidRPr="00C303FD">
        <w:rPr>
          <w:rFonts w:cs="Arial"/>
        </w:rPr>
        <w:t xml:space="preserve"> </w:t>
      </w:r>
      <w:r w:rsidRPr="00C303FD">
        <w:rPr>
          <w:rFonts w:cs="Arial"/>
        </w:rPr>
        <w:t>does not administer PHA funds, it does not evaluate the status or condition of PHAs</w:t>
      </w:r>
      <w:r w:rsidR="000E5007">
        <w:rPr>
          <w:rFonts w:cs="Arial"/>
        </w:rPr>
        <w:t>.</w:t>
      </w:r>
    </w:p>
    <w:p w14:paraId="1792D94B" w14:textId="77777777" w:rsidR="00326CCF" w:rsidRDefault="00326CCF" w:rsidP="00757E30">
      <w:pPr>
        <w:rPr>
          <w:rFonts w:cs="Arial"/>
          <w:szCs w:val="24"/>
        </w:rPr>
      </w:pPr>
    </w:p>
    <w:p w14:paraId="77A6DC59" w14:textId="77777777" w:rsidR="00326CCF" w:rsidRPr="0061724A" w:rsidRDefault="00326CCF" w:rsidP="0061724A">
      <w:pPr>
        <w:rPr>
          <w:rFonts w:cs="Arial"/>
          <w:strike/>
          <w:color w:val="CC0000"/>
          <w:szCs w:val="24"/>
        </w:rPr>
      </w:pPr>
      <w:r>
        <w:rPr>
          <w:rFonts w:cs="Arial"/>
          <w:szCs w:val="24"/>
        </w:rPr>
        <w:br w:type="page"/>
      </w:r>
    </w:p>
    <w:p w14:paraId="576034D2" w14:textId="77777777" w:rsidR="00757E30" w:rsidRPr="00C303FD" w:rsidRDefault="00757E30" w:rsidP="00326CCF">
      <w:pPr>
        <w:jc w:val="center"/>
        <w:rPr>
          <w:rFonts w:cs="Arial"/>
          <w:color w:val="335375" w:themeColor="accent3" w:themeShade="BF"/>
          <w:sz w:val="28"/>
          <w:szCs w:val="24"/>
          <w:u w:val="single"/>
        </w:rPr>
      </w:pPr>
      <w:r w:rsidRPr="00C303FD">
        <w:rPr>
          <w:rFonts w:cs="Arial"/>
          <w:b/>
          <w:bCs/>
          <w:color w:val="335375" w:themeColor="accent3" w:themeShade="BF"/>
          <w:sz w:val="28"/>
          <w:szCs w:val="24"/>
          <w:u w:val="single"/>
        </w:rPr>
        <w:lastRenderedPageBreak/>
        <w:t>CR-35 Other Actions</w:t>
      </w:r>
    </w:p>
    <w:p w14:paraId="20D74B1C" w14:textId="77777777" w:rsidR="00757E30" w:rsidRPr="00C303FD" w:rsidRDefault="00757E30" w:rsidP="00757E30">
      <w:pPr>
        <w:rPr>
          <w:rFonts w:cs="Arial"/>
          <w:i/>
          <w:color w:val="335375" w:themeColor="accent3" w:themeShade="BF"/>
          <w:sz w:val="22"/>
          <w:szCs w:val="24"/>
        </w:rPr>
      </w:pPr>
      <w:r w:rsidRPr="00C303FD">
        <w:rPr>
          <w:rFonts w:cs="Arial"/>
          <w:i/>
          <w:color w:val="335375" w:themeColor="accent3" w:themeShade="BF"/>
          <w:sz w:val="22"/>
          <w:szCs w:val="24"/>
        </w:rPr>
        <w:t>Regulation Citation(s): 24 CFR 91.220(j, k), 91.320 (i, j), 91.420, 91.520(a)</w:t>
      </w:r>
    </w:p>
    <w:p w14:paraId="7E693D72" w14:textId="77777777" w:rsidR="00D53273" w:rsidRPr="00A63E14" w:rsidRDefault="00D53273" w:rsidP="00D53273">
      <w:pPr>
        <w:widowControl w:val="0"/>
        <w:rPr>
          <w:b/>
          <w:szCs w:val="24"/>
          <w:u w:val="single"/>
        </w:rPr>
      </w:pPr>
      <w:r w:rsidRPr="004905D3">
        <w:rPr>
          <w:b/>
          <w:szCs w:val="24"/>
          <w:u w:val="single"/>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r w:rsidRPr="00A63E14">
        <w:rPr>
          <w:b/>
          <w:szCs w:val="24"/>
          <w:u w:val="single"/>
        </w:rPr>
        <w:t xml:space="preserve"> </w:t>
      </w:r>
      <w:hyperlink r:id="rId16" w:history="1">
        <w:r w:rsidR="00AA2DE6" w:rsidRPr="00C303FD">
          <w:rPr>
            <w:rStyle w:val="Hyperlink"/>
            <w:color w:val="0000FF"/>
            <w:szCs w:val="24"/>
          </w:rPr>
          <w:t xml:space="preserve">24 CFR </w:t>
        </w:r>
        <w:r w:rsidRPr="00C303FD">
          <w:rPr>
            <w:rStyle w:val="Hyperlink"/>
            <w:color w:val="0000FF"/>
            <w:szCs w:val="24"/>
          </w:rPr>
          <w:t>91.220 (j)</w:t>
        </w:r>
      </w:hyperlink>
      <w:r w:rsidRPr="00C303FD">
        <w:rPr>
          <w:b/>
          <w:color w:val="0000FF"/>
          <w:szCs w:val="24"/>
          <w:u w:val="single"/>
        </w:rPr>
        <w:t xml:space="preserve">; </w:t>
      </w:r>
      <w:hyperlink r:id="rId17" w:history="1">
        <w:r w:rsidRPr="00C303FD">
          <w:rPr>
            <w:rStyle w:val="Hyperlink"/>
            <w:color w:val="0000FF"/>
            <w:szCs w:val="24"/>
          </w:rPr>
          <w:t>91.320 (i)</w:t>
        </w:r>
      </w:hyperlink>
      <w:r w:rsidR="00AA2DE6" w:rsidRPr="00A63E14">
        <w:rPr>
          <w:b/>
          <w:szCs w:val="24"/>
          <w:u w:val="single"/>
        </w:rPr>
        <w:t>.</w:t>
      </w:r>
    </w:p>
    <w:p w14:paraId="26673B2C" w14:textId="77777777" w:rsidR="00D53273" w:rsidRPr="00AA2DE6" w:rsidRDefault="00D53273" w:rsidP="001D536F">
      <w:pPr>
        <w:widowControl w:val="0"/>
        <w:spacing w:before="100" w:beforeAutospacing="1" w:after="100" w:afterAutospacing="1"/>
        <w:rPr>
          <w:rFonts w:cs="Arial"/>
        </w:rPr>
      </w:pPr>
      <w:r w:rsidRPr="00AA2DE6">
        <w:rPr>
          <w:rFonts w:cs="Arial"/>
        </w:rPr>
        <w:t>State law requires each city and county to adopt a general plan containing at least seven mandatory elements including housing. Unlike the ot</w:t>
      </w:r>
      <w:r w:rsidR="00F01AF2">
        <w:rPr>
          <w:rFonts w:cs="Arial"/>
        </w:rPr>
        <w:t>her general plan elements, the Housing E</w:t>
      </w:r>
      <w:r w:rsidRPr="00AA2DE6">
        <w:rPr>
          <w:rFonts w:cs="Arial"/>
        </w:rPr>
        <w:t>lement</w:t>
      </w:r>
      <w:r w:rsidR="00F01AF2">
        <w:rPr>
          <w:rFonts w:cs="Arial"/>
        </w:rPr>
        <w:t xml:space="preserve"> (HE)</w:t>
      </w:r>
      <w:r w:rsidR="001D536F">
        <w:rPr>
          <w:rFonts w:cs="Arial"/>
        </w:rPr>
        <w:t>, required to-</w:t>
      </w:r>
      <w:r w:rsidRPr="00AA2DE6">
        <w:rPr>
          <w:rFonts w:cs="Arial"/>
        </w:rPr>
        <w:t xml:space="preserve">be updated every five to eight years, is subject to detailed statutory requirements and mandatory review by </w:t>
      </w:r>
      <w:r w:rsidR="0067259C">
        <w:rPr>
          <w:rFonts w:cs="Arial"/>
        </w:rPr>
        <w:t>the Department</w:t>
      </w:r>
      <w:r w:rsidRPr="00AA2DE6">
        <w:rPr>
          <w:rFonts w:cs="Arial"/>
        </w:rPr>
        <w:t xml:space="preserve">.  The </w:t>
      </w:r>
      <w:r w:rsidR="00F01AF2">
        <w:rPr>
          <w:rFonts w:cs="Arial"/>
        </w:rPr>
        <w:t>HE</w:t>
      </w:r>
      <w:r w:rsidRPr="00AA2DE6">
        <w:rPr>
          <w:rFonts w:cs="Arial"/>
        </w:rPr>
        <w:t xml:space="preserve"> has many similar requirements to the </w:t>
      </w:r>
      <w:r w:rsidR="001D536F" w:rsidRPr="00AA2DE6">
        <w:rPr>
          <w:rFonts w:cs="Arial"/>
        </w:rPr>
        <w:t>federally mandated</w:t>
      </w:r>
      <w:r w:rsidRPr="00AA2DE6">
        <w:rPr>
          <w:rFonts w:cs="Arial"/>
        </w:rPr>
        <w:t xml:space="preserve"> </w:t>
      </w:r>
      <w:r w:rsidR="00F01AF2">
        <w:rPr>
          <w:rFonts w:cs="Arial"/>
        </w:rPr>
        <w:t>Consolidated Plan (</w:t>
      </w:r>
      <w:r w:rsidRPr="00AA2DE6">
        <w:rPr>
          <w:rFonts w:cs="Arial"/>
        </w:rPr>
        <w:t>ConPlan</w:t>
      </w:r>
      <w:r w:rsidR="00F01AF2">
        <w:rPr>
          <w:rFonts w:cs="Arial"/>
        </w:rPr>
        <w:t>)</w:t>
      </w:r>
      <w:r w:rsidRPr="00AA2DE6">
        <w:rPr>
          <w:rFonts w:cs="Arial"/>
        </w:rPr>
        <w:t xml:space="preserve"> in that it requires a thorough assessment of housing needs –including special needs populations, and the adoption of a comprehensive implementation action plan to address those needs.</w:t>
      </w:r>
    </w:p>
    <w:p w14:paraId="6155CB18" w14:textId="77777777" w:rsidR="00D53273" w:rsidRPr="00AA2DE6" w:rsidRDefault="00D53273" w:rsidP="00A74C36">
      <w:pPr>
        <w:widowControl w:val="0"/>
        <w:spacing w:before="100" w:beforeAutospacing="1" w:after="100" w:afterAutospacing="1"/>
        <w:rPr>
          <w:rFonts w:cs="Arial"/>
        </w:rPr>
      </w:pPr>
      <w:r w:rsidRPr="00AA2DE6">
        <w:rPr>
          <w:rFonts w:cs="Arial"/>
        </w:rPr>
        <w:t xml:space="preserve">The </w:t>
      </w:r>
      <w:r w:rsidR="00F01AF2">
        <w:rPr>
          <w:rFonts w:cs="Arial"/>
        </w:rPr>
        <w:t>HE</w:t>
      </w:r>
      <w:r w:rsidRPr="00AA2DE6">
        <w:rPr>
          <w:rFonts w:cs="Arial"/>
        </w:rPr>
        <w:t xml:space="preserve"> contains information about the availability of sites and infrastructure to accommodate new housing needs and requires an analysis of governmental constraints to the production and preservation of housing.  Cities and counties are required by housing element law to have land-use plans and regulatory </w:t>
      </w:r>
      <w:r w:rsidR="00F01AF2" w:rsidRPr="00AA2DE6">
        <w:rPr>
          <w:rFonts w:cs="Arial"/>
        </w:rPr>
        <w:t>policies that</w:t>
      </w:r>
      <w:r w:rsidRPr="00AA2DE6">
        <w:rPr>
          <w:rFonts w:cs="Arial"/>
        </w:rPr>
        <w:t xml:space="preserve"> facilitate the development of a range of housing types to meet the needs of all income groups. </w:t>
      </w:r>
      <w:r w:rsidR="00F01AF2">
        <w:rPr>
          <w:rFonts w:cs="Arial"/>
        </w:rPr>
        <w:t xml:space="preserve"> </w:t>
      </w:r>
      <w:r w:rsidRPr="00AA2DE6">
        <w:rPr>
          <w:rFonts w:cs="Arial"/>
        </w:rPr>
        <w:t xml:space="preserve">The </w:t>
      </w:r>
      <w:r w:rsidR="00F01AF2">
        <w:rPr>
          <w:rFonts w:cs="Arial"/>
        </w:rPr>
        <w:t>HE</w:t>
      </w:r>
      <w:r w:rsidRPr="00AA2DE6">
        <w:rPr>
          <w:rFonts w:cs="Arial"/>
        </w:rPr>
        <w:t xml:space="preserve"> must be developed with public input and participation, serves as the basis for land-use and assistance programs to address local, regional and state housing needs.</w:t>
      </w:r>
    </w:p>
    <w:p w14:paraId="41792439" w14:textId="3C99A2F5" w:rsidR="0052616D" w:rsidRPr="0052616D" w:rsidRDefault="00BA64FF" w:rsidP="00BA64FF">
      <w:pPr>
        <w:spacing w:before="100" w:beforeAutospacing="1" w:after="100" w:afterAutospacing="1" w:line="252" w:lineRule="auto"/>
        <w:rPr>
          <w:rFonts w:cs="Arial"/>
          <w:color w:val="3333FF"/>
          <w:szCs w:val="24"/>
        </w:rPr>
      </w:pPr>
      <w:r w:rsidRPr="008514BD">
        <w:rPr>
          <w:rFonts w:cs="Arial"/>
          <w:szCs w:val="24"/>
        </w:rPr>
        <w:t xml:space="preserve">As of August 28, 2017, </w:t>
      </w:r>
      <w:r w:rsidRPr="001D536F">
        <w:rPr>
          <w:rFonts w:cs="Arial"/>
          <w:b/>
          <w:szCs w:val="24"/>
        </w:rPr>
        <w:t>479</w:t>
      </w:r>
      <w:r w:rsidRPr="008514BD">
        <w:rPr>
          <w:rFonts w:cs="Arial"/>
          <w:szCs w:val="24"/>
        </w:rPr>
        <w:t xml:space="preserve"> of the state's </w:t>
      </w:r>
      <w:r w:rsidRPr="001D536F">
        <w:rPr>
          <w:rFonts w:cs="Arial"/>
          <w:b/>
          <w:szCs w:val="24"/>
        </w:rPr>
        <w:t>539</w:t>
      </w:r>
      <w:r w:rsidRPr="008514BD">
        <w:rPr>
          <w:rFonts w:cs="Arial"/>
          <w:szCs w:val="24"/>
        </w:rPr>
        <w:t xml:space="preserve"> local governments (</w:t>
      </w:r>
      <w:r w:rsidRPr="001D536F">
        <w:rPr>
          <w:rFonts w:cs="Arial"/>
          <w:b/>
          <w:szCs w:val="24"/>
        </w:rPr>
        <w:t>88.9 percent</w:t>
      </w:r>
      <w:r w:rsidRPr="008514BD">
        <w:rPr>
          <w:rFonts w:cs="Arial"/>
          <w:szCs w:val="24"/>
        </w:rPr>
        <w:t>) were found to comply with housing elemen</w:t>
      </w:r>
      <w:r w:rsidR="001D536F">
        <w:rPr>
          <w:rFonts w:cs="Arial"/>
          <w:szCs w:val="24"/>
        </w:rPr>
        <w:t xml:space="preserve">t law.  </w:t>
      </w:r>
      <w:r w:rsidRPr="008514BD">
        <w:rPr>
          <w:rFonts w:cs="Arial"/>
          <w:szCs w:val="24"/>
        </w:rPr>
        <w:t xml:space="preserve">To date, </w:t>
      </w:r>
      <w:r w:rsidRPr="001D536F">
        <w:rPr>
          <w:rFonts w:cs="Arial"/>
          <w:b/>
          <w:szCs w:val="24"/>
        </w:rPr>
        <w:t>517 local governments</w:t>
      </w:r>
      <w:r w:rsidRPr="008514BD">
        <w:rPr>
          <w:rFonts w:cs="Arial"/>
          <w:szCs w:val="24"/>
        </w:rPr>
        <w:t xml:space="preserve"> (</w:t>
      </w:r>
      <w:r w:rsidR="003E6342" w:rsidRPr="001D536F">
        <w:rPr>
          <w:rFonts w:cs="Arial"/>
          <w:b/>
          <w:szCs w:val="24"/>
        </w:rPr>
        <w:t>95.9 percent</w:t>
      </w:r>
      <w:r w:rsidRPr="008514BD">
        <w:rPr>
          <w:rFonts w:cs="Arial"/>
          <w:szCs w:val="24"/>
        </w:rPr>
        <w:t xml:space="preserve">) have submitted their housing elements for the 5th cycle planning period.  Compliance status of individual cities and counties is available on the Department’s website </w:t>
      </w:r>
      <w:r w:rsidR="0052616D" w:rsidRPr="0052616D">
        <w:rPr>
          <w:rFonts w:cs="Arial"/>
          <w:color w:val="3333FF"/>
          <w:szCs w:val="24"/>
        </w:rPr>
        <w:fldChar w:fldCharType="begin"/>
      </w:r>
      <w:r w:rsidR="0052616D" w:rsidRPr="0052616D">
        <w:rPr>
          <w:rFonts w:cs="Arial"/>
          <w:color w:val="3333FF"/>
          <w:szCs w:val="24"/>
        </w:rPr>
        <w:instrText xml:space="preserve"> HYPERLINK "http://www.hcd.ca.gov/community-development/housing-element/docs/status.pdf.</w:instrText>
      </w:r>
    </w:p>
    <w:p w14:paraId="5F6F740C" w14:textId="77777777" w:rsidR="0052616D" w:rsidRPr="0052616D" w:rsidRDefault="0052616D" w:rsidP="00BA64FF">
      <w:pPr>
        <w:spacing w:before="100" w:beforeAutospacing="1" w:after="100" w:afterAutospacing="1" w:line="252" w:lineRule="auto"/>
        <w:rPr>
          <w:rStyle w:val="Hyperlink"/>
          <w:rFonts w:cs="Arial"/>
          <w:color w:val="3333FF"/>
          <w:szCs w:val="24"/>
        </w:rPr>
      </w:pPr>
      <w:r w:rsidRPr="0052616D">
        <w:rPr>
          <w:rFonts w:cs="Arial"/>
          <w:color w:val="3333FF"/>
          <w:szCs w:val="24"/>
        </w:rPr>
        <w:instrText xml:space="preserve">" </w:instrText>
      </w:r>
      <w:r w:rsidRPr="0052616D">
        <w:rPr>
          <w:rFonts w:cs="Arial"/>
          <w:color w:val="3333FF"/>
          <w:szCs w:val="24"/>
        </w:rPr>
        <w:fldChar w:fldCharType="separate"/>
      </w:r>
      <w:r w:rsidRPr="0052616D">
        <w:rPr>
          <w:rStyle w:val="Hyperlink"/>
          <w:rFonts w:cs="Arial"/>
          <w:color w:val="3333FF"/>
          <w:szCs w:val="24"/>
        </w:rPr>
        <w:t>http://www.hcd.ca.gov/community-development/housing-element/docs/status.pdf.</w:t>
      </w:r>
    </w:p>
    <w:p w14:paraId="19E6E541" w14:textId="51C3EC4A" w:rsidR="00D53273" w:rsidRPr="00C303FD" w:rsidRDefault="0052616D" w:rsidP="00D53273">
      <w:pPr>
        <w:widowControl w:val="0"/>
        <w:rPr>
          <w:szCs w:val="24"/>
          <w:u w:val="single"/>
        </w:rPr>
      </w:pPr>
      <w:r w:rsidRPr="0052616D">
        <w:rPr>
          <w:rFonts w:cs="Arial"/>
          <w:color w:val="3333FF"/>
          <w:szCs w:val="24"/>
        </w:rPr>
        <w:fldChar w:fldCharType="end"/>
      </w:r>
      <w:r w:rsidR="00D53273" w:rsidRPr="004905D3">
        <w:rPr>
          <w:b/>
          <w:szCs w:val="24"/>
          <w:u w:val="single"/>
        </w:rPr>
        <w:t>Actions taken to address obstacles to meeting underser</w:t>
      </w:r>
      <w:r w:rsidR="00F01AF2" w:rsidRPr="004905D3">
        <w:rPr>
          <w:b/>
          <w:szCs w:val="24"/>
          <w:u w:val="single"/>
        </w:rPr>
        <w:t>ved needs</w:t>
      </w:r>
      <w:r w:rsidR="00F01AF2">
        <w:rPr>
          <w:szCs w:val="24"/>
          <w:u w:val="single"/>
        </w:rPr>
        <w:t>.</w:t>
      </w:r>
      <w:r w:rsidR="00D53273" w:rsidRPr="00C303FD">
        <w:rPr>
          <w:szCs w:val="24"/>
          <w:u w:val="single"/>
        </w:rPr>
        <w:t xml:space="preserve"> </w:t>
      </w:r>
      <w:hyperlink r:id="rId18" w:history="1">
        <w:r w:rsidR="00C303FD" w:rsidRPr="00C303FD">
          <w:rPr>
            <w:rStyle w:val="Hyperlink"/>
            <w:color w:val="0000FF"/>
            <w:szCs w:val="24"/>
          </w:rPr>
          <w:t xml:space="preserve">24 CFR </w:t>
        </w:r>
        <w:r w:rsidR="00D53273" w:rsidRPr="00C303FD">
          <w:rPr>
            <w:rStyle w:val="Hyperlink"/>
            <w:color w:val="0000FF"/>
            <w:szCs w:val="24"/>
          </w:rPr>
          <w:t>91.220(k);</w:t>
        </w:r>
      </w:hyperlink>
      <w:r w:rsidR="00D53273" w:rsidRPr="00C303FD">
        <w:rPr>
          <w:szCs w:val="24"/>
          <w:u w:val="single"/>
        </w:rPr>
        <w:t xml:space="preserve"> </w:t>
      </w:r>
      <w:hyperlink r:id="rId19" w:history="1">
        <w:r w:rsidR="00D53273" w:rsidRPr="00C303FD">
          <w:rPr>
            <w:rStyle w:val="Hyperlink"/>
            <w:color w:val="0000FF"/>
            <w:szCs w:val="24"/>
          </w:rPr>
          <w:t>91.320(j)</w:t>
        </w:r>
      </w:hyperlink>
    </w:p>
    <w:p w14:paraId="49F59CEB" w14:textId="77777777" w:rsidR="00757E30" w:rsidRPr="00AA2DE6" w:rsidRDefault="00D53273" w:rsidP="00F01AF2">
      <w:pPr>
        <w:widowControl w:val="0"/>
        <w:spacing w:before="100" w:beforeAutospacing="1" w:after="100" w:afterAutospacing="1"/>
        <w:rPr>
          <w:rFonts w:cs="Arial"/>
        </w:rPr>
      </w:pPr>
      <w:r w:rsidRPr="00AA2DE6">
        <w:rPr>
          <w:rFonts w:cs="Arial"/>
        </w:rPr>
        <w:t xml:space="preserve">In addition to the actions discussed elsewhere in CR 35, the </w:t>
      </w:r>
      <w:r w:rsidR="00F01AF2">
        <w:rPr>
          <w:rFonts w:cs="Arial"/>
        </w:rPr>
        <w:t>Department</w:t>
      </w:r>
      <w:r w:rsidR="00592B04" w:rsidRPr="00AA2DE6">
        <w:rPr>
          <w:rFonts w:cs="Arial"/>
        </w:rPr>
        <w:t xml:space="preserve"> </w:t>
      </w:r>
      <w:r w:rsidRPr="00AA2DE6">
        <w:rPr>
          <w:rFonts w:cs="Arial"/>
        </w:rPr>
        <w:t>continues to provide funds to address all of its housing, infrastructure, homelessness, economic development, and public facilities and services goals.</w:t>
      </w:r>
      <w:r w:rsidR="00DC3673">
        <w:rPr>
          <w:rFonts w:cs="Arial"/>
        </w:rPr>
        <w:t xml:space="preserve"> </w:t>
      </w:r>
      <w:r w:rsidRPr="00AA2DE6">
        <w:rPr>
          <w:rFonts w:cs="Arial"/>
        </w:rPr>
        <w:t xml:space="preserve"> In many communities across California, these continue to be underserved needs; hence, the </w:t>
      </w:r>
      <w:r w:rsidR="00F01AF2">
        <w:rPr>
          <w:rFonts w:cs="Arial"/>
        </w:rPr>
        <w:t>Department</w:t>
      </w:r>
      <w:r w:rsidR="00592B04" w:rsidRPr="00AA2DE6">
        <w:rPr>
          <w:rFonts w:cs="Arial"/>
        </w:rPr>
        <w:t xml:space="preserve"> </w:t>
      </w:r>
      <w:r w:rsidRPr="00AA2DE6">
        <w:rPr>
          <w:rFonts w:cs="Arial"/>
        </w:rPr>
        <w:t xml:space="preserve">is also putting additional resources toward meeting these needs. Some special initiatives in </w:t>
      </w:r>
      <w:r w:rsidR="009407B8">
        <w:rPr>
          <w:rFonts w:cs="Arial"/>
        </w:rPr>
        <w:t>FY 2016-17</w:t>
      </w:r>
      <w:r w:rsidR="00F01AF2">
        <w:rPr>
          <w:rFonts w:cs="Arial"/>
        </w:rPr>
        <w:t xml:space="preserve"> included the following:</w:t>
      </w:r>
    </w:p>
    <w:p w14:paraId="6E91C6F3" w14:textId="77777777" w:rsidR="00D53273" w:rsidRPr="00F01AF2" w:rsidRDefault="00D53273" w:rsidP="00F01AF2">
      <w:pPr>
        <w:pStyle w:val="ListParagraph"/>
        <w:widowControl w:val="0"/>
        <w:numPr>
          <w:ilvl w:val="0"/>
          <w:numId w:val="18"/>
        </w:numPr>
        <w:spacing w:before="100" w:beforeAutospacing="1" w:after="100" w:afterAutospacing="1"/>
        <w:rPr>
          <w:rFonts w:cs="Arial"/>
          <w:u w:val="single"/>
        </w:rPr>
      </w:pPr>
      <w:r w:rsidRPr="00F01AF2">
        <w:rPr>
          <w:rFonts w:cs="Arial"/>
          <w:u w:val="single"/>
        </w:rPr>
        <w:t>Actions taken to reduce lead-based paint hazards.</w:t>
      </w:r>
      <w:r w:rsidR="00C303FD" w:rsidRPr="00F01AF2">
        <w:rPr>
          <w:rFonts w:cs="Arial"/>
          <w:color w:val="0000FF"/>
          <w:u w:val="single"/>
        </w:rPr>
        <w:t xml:space="preserve"> </w:t>
      </w:r>
      <w:hyperlink r:id="rId20" w:history="1">
        <w:r w:rsidR="00C303FD" w:rsidRPr="00F01AF2">
          <w:rPr>
            <w:rStyle w:val="Hyperlink"/>
            <w:rFonts w:cs="Arial"/>
            <w:color w:val="0000FF"/>
          </w:rPr>
          <w:t>24 CFR</w:t>
        </w:r>
        <w:r w:rsidRPr="00F01AF2">
          <w:rPr>
            <w:rStyle w:val="Hyperlink"/>
            <w:rFonts w:cs="Arial"/>
            <w:color w:val="0000FF"/>
          </w:rPr>
          <w:t xml:space="preserve"> 91.220(k);</w:t>
        </w:r>
      </w:hyperlink>
      <w:r w:rsidRPr="00F01AF2">
        <w:rPr>
          <w:rFonts w:cs="Arial"/>
          <w:color w:val="0000FF"/>
          <w:u w:val="single"/>
        </w:rPr>
        <w:t xml:space="preserve"> </w:t>
      </w:r>
      <w:hyperlink r:id="rId21" w:history="1">
        <w:r w:rsidRPr="00F01AF2">
          <w:rPr>
            <w:rStyle w:val="Hyperlink"/>
            <w:rFonts w:cs="Arial"/>
            <w:color w:val="0000FF"/>
          </w:rPr>
          <w:t>91.320(j)</w:t>
        </w:r>
      </w:hyperlink>
    </w:p>
    <w:p w14:paraId="698A4179" w14:textId="77777777" w:rsidR="00E0077F" w:rsidRPr="00C303FD" w:rsidRDefault="00E0077F" w:rsidP="00F01AF2">
      <w:pPr>
        <w:widowControl w:val="0"/>
        <w:spacing w:before="100" w:beforeAutospacing="1" w:after="100" w:afterAutospacing="1"/>
        <w:ind w:left="720"/>
        <w:rPr>
          <w:rFonts w:cs="Arial"/>
        </w:rPr>
      </w:pPr>
      <w:r w:rsidRPr="00C303FD">
        <w:rPr>
          <w:rFonts w:cs="Arial"/>
          <w:b/>
        </w:rPr>
        <w:lastRenderedPageBreak/>
        <w:t>LHCP</w:t>
      </w:r>
      <w:r w:rsidR="00C92DD6">
        <w:rPr>
          <w:rFonts w:cs="Arial"/>
          <w:b/>
        </w:rPr>
        <w:t xml:space="preserve">:  </w:t>
      </w:r>
      <w:r w:rsidR="00C92DD6">
        <w:rPr>
          <w:rFonts w:cs="Arial"/>
        </w:rPr>
        <w:t>The Lead Hazard Control Program (</w:t>
      </w:r>
      <w:r w:rsidR="00C303FD">
        <w:rPr>
          <w:rFonts w:cs="Arial"/>
        </w:rPr>
        <w:t>LHCP</w:t>
      </w:r>
      <w:r w:rsidR="00C92DD6">
        <w:rPr>
          <w:rFonts w:cs="Arial"/>
        </w:rPr>
        <w:t>)</w:t>
      </w:r>
      <w:r w:rsidRPr="00C303FD">
        <w:rPr>
          <w:rFonts w:cs="Arial"/>
        </w:rPr>
        <w:t xml:space="preserve"> is designed to work collaboratively with the LHCP network of Community-Based Organizations (CBOs) in the delivery of lead hazard control services to low-income households.  Funds are provided to CBOs that statistically have a high number of children with elevated blood/lead levels in their county and the capacity to successfully carry out the goals by meeting and/or exceeding LHCP benchmark goals.  </w:t>
      </w:r>
    </w:p>
    <w:p w14:paraId="77FEC00E" w14:textId="77777777" w:rsidR="00757E30" w:rsidRPr="0052616D" w:rsidRDefault="00E0077F" w:rsidP="00F01AF2">
      <w:pPr>
        <w:ind w:left="720"/>
        <w:rPr>
          <w:rFonts w:cs="Arial"/>
          <w:szCs w:val="24"/>
        </w:rPr>
      </w:pPr>
      <w:r w:rsidRPr="00C303FD">
        <w:rPr>
          <w:rFonts w:cs="Arial"/>
        </w:rPr>
        <w:t xml:space="preserve">In FY 2016-17, LHCP provided assistance to </w:t>
      </w:r>
      <w:r w:rsidRPr="001D536F">
        <w:rPr>
          <w:rFonts w:cs="Arial"/>
          <w:b/>
        </w:rPr>
        <w:t>33 households</w:t>
      </w:r>
      <w:r w:rsidRPr="00C303FD">
        <w:rPr>
          <w:rFonts w:cs="Arial"/>
        </w:rPr>
        <w:t xml:space="preserve"> </w:t>
      </w:r>
      <w:r w:rsidRPr="0052616D">
        <w:rPr>
          <w:rFonts w:cs="Arial"/>
        </w:rPr>
        <w:t xml:space="preserve">totaling </w:t>
      </w:r>
      <w:r w:rsidRPr="0052616D">
        <w:rPr>
          <w:rFonts w:cs="Arial"/>
          <w:b/>
        </w:rPr>
        <w:t>$810,738</w:t>
      </w:r>
      <w:r w:rsidRPr="0052616D">
        <w:rPr>
          <w:rFonts w:cs="Arial"/>
        </w:rPr>
        <w:t xml:space="preserve">. </w:t>
      </w:r>
      <w:r w:rsidR="001D536F" w:rsidRPr="0052616D">
        <w:rPr>
          <w:rFonts w:cs="Arial"/>
        </w:rPr>
        <w:t xml:space="preserve"> </w:t>
      </w:r>
      <w:r w:rsidRPr="0052616D">
        <w:rPr>
          <w:rFonts w:cs="Arial"/>
        </w:rPr>
        <w:t>The program</w:t>
      </w:r>
      <w:r w:rsidR="00E00641" w:rsidRPr="0052616D">
        <w:rPr>
          <w:rFonts w:cs="Arial"/>
        </w:rPr>
        <w:t>’</w:t>
      </w:r>
      <w:r w:rsidRPr="0052616D">
        <w:rPr>
          <w:rFonts w:cs="Arial"/>
        </w:rPr>
        <w:t xml:space="preserve">s primary objectives </w:t>
      </w:r>
      <w:r w:rsidR="00E00641" w:rsidRPr="0052616D">
        <w:rPr>
          <w:rFonts w:cs="Arial"/>
        </w:rPr>
        <w:t xml:space="preserve">were </w:t>
      </w:r>
      <w:r w:rsidRPr="0052616D">
        <w:rPr>
          <w:rFonts w:cs="Arial"/>
        </w:rPr>
        <w:t>to: (1) provide lead hazard control services in 2016-2017 to pre-1978 housing units occupied by low-income households, targeting households with at least one child under the age of six residing in the residence or visiting frequently, a pregnant woman residing in the residence; (2) provide lead hazard awareness education; (3) maximize resources by strengthening collaboration with local housing and health departments to increase lead-safe rental opportunities for low-income households</w:t>
      </w:r>
      <w:r w:rsidR="00E00641" w:rsidRPr="0052616D">
        <w:rPr>
          <w:rFonts w:cs="Arial"/>
        </w:rPr>
        <w:t>;</w:t>
      </w:r>
      <w:r w:rsidRPr="0052616D">
        <w:rPr>
          <w:rFonts w:cs="Arial"/>
        </w:rPr>
        <w:t>(4) expand the lead-safe certified workforce in the local communities</w:t>
      </w:r>
      <w:r w:rsidR="00E00641" w:rsidRPr="0052616D">
        <w:rPr>
          <w:rFonts w:cs="Arial"/>
        </w:rPr>
        <w:t>;</w:t>
      </w:r>
      <w:r w:rsidRPr="0052616D">
        <w:rPr>
          <w:rFonts w:cs="Arial"/>
        </w:rPr>
        <w:t xml:space="preserve"> (5)  address healthy homes hazards in homes where lead hazards exist</w:t>
      </w:r>
      <w:r w:rsidR="0080307A" w:rsidRPr="0052616D">
        <w:rPr>
          <w:rFonts w:cs="Arial"/>
        </w:rPr>
        <w:t>;</w:t>
      </w:r>
      <w:r w:rsidRPr="0052616D">
        <w:rPr>
          <w:rFonts w:cs="Arial"/>
        </w:rPr>
        <w:t xml:space="preserve"> and (6) develop lasting lead-safe training resources</w:t>
      </w:r>
      <w:r w:rsidR="0080307A" w:rsidRPr="0052616D">
        <w:rPr>
          <w:rFonts w:cs="Arial"/>
        </w:rPr>
        <w:t>.</w:t>
      </w:r>
    </w:p>
    <w:p w14:paraId="031AD805" w14:textId="77777777" w:rsidR="00D53273" w:rsidRPr="0052616D" w:rsidRDefault="00D53273" w:rsidP="00F01AF2">
      <w:pPr>
        <w:pStyle w:val="ListParagraph"/>
        <w:widowControl w:val="0"/>
        <w:numPr>
          <w:ilvl w:val="0"/>
          <w:numId w:val="18"/>
        </w:numPr>
        <w:rPr>
          <w:szCs w:val="24"/>
          <w:u w:val="single"/>
        </w:rPr>
      </w:pPr>
      <w:r w:rsidRPr="0052616D">
        <w:rPr>
          <w:szCs w:val="24"/>
          <w:u w:val="single"/>
        </w:rPr>
        <w:t xml:space="preserve">Actions taken to reduce the number of poverty-level families. </w:t>
      </w:r>
      <w:hyperlink r:id="rId22" w:history="1">
        <w:r w:rsidR="002E4D24" w:rsidRPr="0052616D">
          <w:rPr>
            <w:rStyle w:val="Hyperlink"/>
            <w:color w:val="0000FF"/>
            <w:szCs w:val="24"/>
          </w:rPr>
          <w:t xml:space="preserve">24 CFR </w:t>
        </w:r>
        <w:r w:rsidRPr="0052616D">
          <w:rPr>
            <w:rStyle w:val="Hyperlink"/>
            <w:color w:val="0000FF"/>
            <w:szCs w:val="24"/>
          </w:rPr>
          <w:t>91.220(k)</w:t>
        </w:r>
      </w:hyperlink>
      <w:r w:rsidRPr="0052616D">
        <w:rPr>
          <w:color w:val="0000FF"/>
          <w:szCs w:val="24"/>
          <w:u w:val="single"/>
        </w:rPr>
        <w:t xml:space="preserve">; </w:t>
      </w:r>
      <w:hyperlink r:id="rId23" w:history="1">
        <w:r w:rsidRPr="0052616D">
          <w:rPr>
            <w:rStyle w:val="Hyperlink"/>
            <w:color w:val="0000FF"/>
            <w:szCs w:val="24"/>
          </w:rPr>
          <w:t>91.320(j)</w:t>
        </w:r>
      </w:hyperlink>
    </w:p>
    <w:p w14:paraId="37DDDFE7" w14:textId="7A426B1B" w:rsidR="00D53273" w:rsidRPr="0052616D" w:rsidRDefault="00C92DD6" w:rsidP="001D536F">
      <w:pPr>
        <w:widowControl w:val="0"/>
        <w:spacing w:before="100" w:beforeAutospacing="1" w:after="100" w:afterAutospacing="1"/>
        <w:ind w:left="720"/>
        <w:rPr>
          <w:rFonts w:cs="Arial"/>
        </w:rPr>
      </w:pPr>
      <w:r w:rsidRPr="0052616D">
        <w:rPr>
          <w:rFonts w:cs="Arial"/>
          <w:b/>
        </w:rPr>
        <w:t xml:space="preserve">CDBG:  </w:t>
      </w:r>
      <w:r w:rsidR="00D53273" w:rsidRPr="0052616D">
        <w:rPr>
          <w:rFonts w:cs="Arial"/>
        </w:rPr>
        <w:t>T</w:t>
      </w:r>
      <w:r w:rsidRPr="0052616D">
        <w:rPr>
          <w:rFonts w:cs="Arial"/>
        </w:rPr>
        <w:t xml:space="preserve">he Community Development Block Grant (CDBG) </w:t>
      </w:r>
      <w:r w:rsidR="00D53273" w:rsidRPr="0052616D">
        <w:rPr>
          <w:rFonts w:cs="Arial"/>
        </w:rPr>
        <w:t xml:space="preserve">program, with its Economic Development </w:t>
      </w:r>
      <w:r w:rsidRPr="0052616D">
        <w:rPr>
          <w:rFonts w:cs="Arial"/>
        </w:rPr>
        <w:t xml:space="preserve">(ED) </w:t>
      </w:r>
      <w:r w:rsidR="00D53273" w:rsidRPr="0052616D">
        <w:rPr>
          <w:rFonts w:cs="Arial"/>
        </w:rPr>
        <w:t>activities, has job creation/retention requirements when direct funding is provided to a for-profit business that is not a Microenterprise business.</w:t>
      </w:r>
      <w:r w:rsidRPr="0052616D">
        <w:rPr>
          <w:rFonts w:cs="Arial"/>
        </w:rPr>
        <w:t xml:space="preserve"> Those jobs must be open to low/</w:t>
      </w:r>
      <w:r w:rsidR="00D53273" w:rsidRPr="0052616D">
        <w:rPr>
          <w:rFonts w:cs="Arial"/>
        </w:rPr>
        <w:t>moderate-income individuals</w:t>
      </w:r>
      <w:r w:rsidRPr="0052616D">
        <w:rPr>
          <w:rFonts w:cs="Arial"/>
        </w:rPr>
        <w:t>,</w:t>
      </w:r>
      <w:r w:rsidR="00D53273" w:rsidRPr="0052616D">
        <w:rPr>
          <w:rFonts w:cs="Arial"/>
        </w:rPr>
        <w:t xml:space="preserve"> and at least </w:t>
      </w:r>
      <w:r w:rsidR="003418FB">
        <w:rPr>
          <w:rFonts w:cs="Arial"/>
          <w:b/>
        </w:rPr>
        <w:t>51</w:t>
      </w:r>
      <w:r w:rsidR="00C303FD" w:rsidRPr="0052616D">
        <w:rPr>
          <w:rFonts w:cs="Arial"/>
          <w:b/>
        </w:rPr>
        <w:t xml:space="preserve"> </w:t>
      </w:r>
      <w:r w:rsidR="009407B8" w:rsidRPr="0052616D">
        <w:rPr>
          <w:rFonts w:cs="Arial"/>
          <w:b/>
        </w:rPr>
        <w:t>percent</w:t>
      </w:r>
      <w:r w:rsidR="009407B8" w:rsidRPr="0052616D">
        <w:rPr>
          <w:rFonts w:cs="Arial"/>
        </w:rPr>
        <w:t xml:space="preserve"> </w:t>
      </w:r>
      <w:r w:rsidR="00D53273" w:rsidRPr="0052616D">
        <w:rPr>
          <w:rFonts w:cs="Arial"/>
        </w:rPr>
        <w:t xml:space="preserve">of the available jobs must be filled by low/moderate-income individuals. </w:t>
      </w:r>
      <w:r w:rsidRPr="0052616D">
        <w:rPr>
          <w:rFonts w:cs="Arial"/>
        </w:rPr>
        <w:t xml:space="preserve"> </w:t>
      </w:r>
      <w:r w:rsidR="00D53273" w:rsidRPr="0052616D">
        <w:rPr>
          <w:rFonts w:cs="Arial"/>
        </w:rPr>
        <w:t xml:space="preserve">To meet this requirement, the Department encourages CDBG jurisdictions to </w:t>
      </w:r>
      <w:r w:rsidR="001D536F" w:rsidRPr="0052616D">
        <w:rPr>
          <w:rFonts w:cs="Arial"/>
        </w:rPr>
        <w:t>collaborate</w:t>
      </w:r>
      <w:r w:rsidR="00D53273" w:rsidRPr="0052616D">
        <w:rPr>
          <w:rFonts w:cs="Arial"/>
        </w:rPr>
        <w:t xml:space="preserve"> with local organizations that are providing job training to provide referrals for job applicants. </w:t>
      </w:r>
      <w:r w:rsidRPr="0052616D">
        <w:rPr>
          <w:rFonts w:cs="Arial"/>
        </w:rPr>
        <w:t xml:space="preserve"> </w:t>
      </w:r>
      <w:r w:rsidR="00D53273" w:rsidRPr="0052616D">
        <w:rPr>
          <w:rFonts w:cs="Arial"/>
        </w:rPr>
        <w:t>Jurisdictions may also formally require Business Assistance loan recipients to use job training program referrals.</w:t>
      </w:r>
      <w:r w:rsidRPr="0052616D">
        <w:rPr>
          <w:rFonts w:cs="Arial"/>
        </w:rPr>
        <w:t xml:space="preserve"> </w:t>
      </w:r>
      <w:r w:rsidR="00D53273" w:rsidRPr="0052616D">
        <w:rPr>
          <w:rFonts w:cs="Arial"/>
        </w:rPr>
        <w:t xml:space="preserve"> In this </w:t>
      </w:r>
      <w:r w:rsidR="001D536F" w:rsidRPr="0052616D">
        <w:rPr>
          <w:rFonts w:cs="Arial"/>
        </w:rPr>
        <w:t>way,</w:t>
      </w:r>
      <w:r w:rsidRPr="0052616D">
        <w:rPr>
          <w:rFonts w:cs="Arial"/>
        </w:rPr>
        <w:t xml:space="preserve"> persons on unemployment and/</w:t>
      </w:r>
      <w:r w:rsidR="00D53273" w:rsidRPr="0052616D">
        <w:rPr>
          <w:rFonts w:cs="Arial"/>
        </w:rPr>
        <w:t>or in job training programs have access to jobs created from CDBG funding.</w:t>
      </w:r>
    </w:p>
    <w:p w14:paraId="55E38194" w14:textId="77777777" w:rsidR="00D53273" w:rsidRPr="0052616D" w:rsidRDefault="00D53273" w:rsidP="00C92DD6">
      <w:pPr>
        <w:pStyle w:val="ListParagraph"/>
        <w:widowControl w:val="0"/>
        <w:numPr>
          <w:ilvl w:val="0"/>
          <w:numId w:val="18"/>
        </w:numPr>
        <w:rPr>
          <w:szCs w:val="24"/>
          <w:u w:val="single"/>
        </w:rPr>
      </w:pPr>
      <w:r w:rsidRPr="0052616D">
        <w:rPr>
          <w:szCs w:val="24"/>
          <w:u w:val="single"/>
        </w:rPr>
        <w:t xml:space="preserve">Actions taken to develop institutional structure. </w:t>
      </w:r>
      <w:hyperlink r:id="rId24" w:history="1">
        <w:r w:rsidR="002E4D24" w:rsidRPr="0052616D">
          <w:rPr>
            <w:rStyle w:val="Hyperlink"/>
            <w:color w:val="0000FF"/>
            <w:szCs w:val="24"/>
          </w:rPr>
          <w:t xml:space="preserve">24 CFR </w:t>
        </w:r>
        <w:r w:rsidRPr="0052616D">
          <w:rPr>
            <w:rStyle w:val="Hyperlink"/>
            <w:color w:val="0000FF"/>
            <w:szCs w:val="24"/>
          </w:rPr>
          <w:t>91.220(k</w:t>
        </w:r>
      </w:hyperlink>
      <w:r w:rsidRPr="0052616D">
        <w:rPr>
          <w:color w:val="0000FF"/>
          <w:szCs w:val="24"/>
          <w:u w:val="single"/>
        </w:rPr>
        <w:t xml:space="preserve">); </w:t>
      </w:r>
      <w:hyperlink r:id="rId25" w:history="1">
        <w:r w:rsidRPr="0052616D">
          <w:rPr>
            <w:rStyle w:val="Hyperlink"/>
            <w:color w:val="0000FF"/>
            <w:szCs w:val="24"/>
          </w:rPr>
          <w:t>91.320(j)</w:t>
        </w:r>
      </w:hyperlink>
    </w:p>
    <w:p w14:paraId="13EEE163" w14:textId="77777777" w:rsidR="00D53273" w:rsidRPr="00AA2DE6" w:rsidRDefault="00D53273" w:rsidP="0067259C">
      <w:pPr>
        <w:widowControl w:val="0"/>
        <w:spacing w:before="100" w:beforeAutospacing="1" w:after="100" w:afterAutospacing="1"/>
        <w:ind w:left="720"/>
        <w:rPr>
          <w:rFonts w:cs="Arial"/>
        </w:rPr>
      </w:pPr>
      <w:r w:rsidRPr="0052616D">
        <w:rPr>
          <w:rFonts w:cs="Arial"/>
        </w:rPr>
        <w:t xml:space="preserve">The </w:t>
      </w:r>
      <w:r w:rsidR="0080307A" w:rsidRPr="0052616D">
        <w:rPr>
          <w:rFonts w:cs="Arial"/>
        </w:rPr>
        <w:t>State of California (State)</w:t>
      </w:r>
      <w:r w:rsidRPr="0052616D">
        <w:rPr>
          <w:rFonts w:cs="Arial"/>
        </w:rPr>
        <w:t xml:space="preserve"> has an instit</w:t>
      </w:r>
      <w:r w:rsidR="00C92DD6" w:rsidRPr="0052616D">
        <w:rPr>
          <w:rFonts w:cs="Arial"/>
        </w:rPr>
        <w:t>utional structure for both the f</w:t>
      </w:r>
      <w:r w:rsidRPr="0052616D">
        <w:rPr>
          <w:rFonts w:cs="Arial"/>
        </w:rPr>
        <w:t xml:space="preserve">ederal and </w:t>
      </w:r>
      <w:r w:rsidR="00592B04" w:rsidRPr="0052616D">
        <w:rPr>
          <w:rFonts w:cs="Arial"/>
        </w:rPr>
        <w:t xml:space="preserve">state </w:t>
      </w:r>
      <w:r w:rsidRPr="0052616D">
        <w:rPr>
          <w:rFonts w:cs="Arial"/>
        </w:rPr>
        <w:t xml:space="preserve">programs it facilitates to address underserved needs, affordable housing, lead-based paint hazards, and enhanced coordination between the public and private sector and social services agencies. </w:t>
      </w:r>
      <w:r w:rsidR="00C92DD6" w:rsidRPr="0052616D">
        <w:rPr>
          <w:rFonts w:cs="Arial"/>
        </w:rPr>
        <w:t xml:space="preserve"> </w:t>
      </w:r>
      <w:r w:rsidRPr="0052616D">
        <w:rPr>
          <w:rFonts w:cs="Arial"/>
        </w:rPr>
        <w:t xml:space="preserve">Currently </w:t>
      </w:r>
      <w:r w:rsidR="00C92DD6" w:rsidRPr="0052616D">
        <w:rPr>
          <w:rFonts w:cs="Arial"/>
        </w:rPr>
        <w:t xml:space="preserve">the </w:t>
      </w:r>
      <w:r w:rsidR="0080307A" w:rsidRPr="0052616D">
        <w:rPr>
          <w:rFonts w:cs="Arial"/>
        </w:rPr>
        <w:t xml:space="preserve">State </w:t>
      </w:r>
      <w:r w:rsidR="00C92DD6" w:rsidRPr="0052616D">
        <w:rPr>
          <w:rFonts w:cs="Arial"/>
        </w:rPr>
        <w:t>has the f</w:t>
      </w:r>
      <w:r w:rsidRPr="0052616D">
        <w:rPr>
          <w:rFonts w:cs="Arial"/>
        </w:rPr>
        <w:t xml:space="preserve">ederal </w:t>
      </w:r>
      <w:r w:rsidR="00C92DD6" w:rsidRPr="0052616D">
        <w:rPr>
          <w:rFonts w:cs="Arial"/>
        </w:rPr>
        <w:t>Emergency Solution Grant (</w:t>
      </w:r>
      <w:r w:rsidRPr="0052616D">
        <w:rPr>
          <w:rFonts w:cs="Arial"/>
        </w:rPr>
        <w:t>ESG</w:t>
      </w:r>
      <w:r w:rsidR="00C92DD6" w:rsidRPr="0052616D">
        <w:rPr>
          <w:rFonts w:cs="Arial"/>
        </w:rPr>
        <w:t>)</w:t>
      </w:r>
      <w:r w:rsidRPr="0052616D">
        <w:rPr>
          <w:rFonts w:cs="Arial"/>
          <w:b/>
          <w:i/>
        </w:rPr>
        <w:t xml:space="preserve">, </w:t>
      </w:r>
      <w:r w:rsidR="00C92DD6" w:rsidRPr="0052616D">
        <w:rPr>
          <w:rFonts w:cs="Arial"/>
        </w:rPr>
        <w:t>Housing Opportunities for Persons with AIDS (</w:t>
      </w:r>
      <w:r w:rsidRPr="0052616D">
        <w:rPr>
          <w:rFonts w:cs="Arial"/>
        </w:rPr>
        <w:t>HOPWA</w:t>
      </w:r>
      <w:r w:rsidR="00C92DD6" w:rsidRPr="0052616D">
        <w:rPr>
          <w:rFonts w:cs="Arial"/>
        </w:rPr>
        <w:t>)</w:t>
      </w:r>
      <w:r w:rsidRPr="0052616D">
        <w:rPr>
          <w:rFonts w:cs="Arial"/>
        </w:rPr>
        <w:t xml:space="preserve">, and </w:t>
      </w:r>
      <w:r w:rsidR="00C92DD6" w:rsidRPr="0052616D">
        <w:rPr>
          <w:rFonts w:cs="Arial"/>
        </w:rPr>
        <w:t xml:space="preserve">Section </w:t>
      </w:r>
      <w:r w:rsidRPr="0052616D">
        <w:rPr>
          <w:rFonts w:cs="Arial"/>
        </w:rPr>
        <w:t>811</w:t>
      </w:r>
      <w:r w:rsidR="00C92DD6" w:rsidRPr="0052616D">
        <w:rPr>
          <w:rFonts w:cs="Arial"/>
        </w:rPr>
        <w:t xml:space="preserve"> </w:t>
      </w:r>
      <w:r w:rsidR="00683D7F" w:rsidRPr="0052616D">
        <w:rPr>
          <w:rFonts w:cs="Arial"/>
        </w:rPr>
        <w:t xml:space="preserve">PRA </w:t>
      </w:r>
      <w:r w:rsidR="00C92DD6" w:rsidRPr="0052616D">
        <w:rPr>
          <w:rFonts w:cs="Arial"/>
        </w:rPr>
        <w:t>(</w:t>
      </w:r>
      <w:r w:rsidR="00683D7F" w:rsidRPr="0052616D">
        <w:rPr>
          <w:rFonts w:cs="Arial"/>
        </w:rPr>
        <w:t xml:space="preserve">Section </w:t>
      </w:r>
      <w:r w:rsidR="00C92DD6" w:rsidRPr="0052616D">
        <w:rPr>
          <w:rFonts w:cs="Arial"/>
        </w:rPr>
        <w:t>811)</w:t>
      </w:r>
      <w:r w:rsidRPr="0052616D">
        <w:rPr>
          <w:rFonts w:cs="Arial"/>
        </w:rPr>
        <w:t xml:space="preserve"> programs serving underserved homeless, mentally ill and disabled (see CR15 for ESG, HOPWA, and CR35 for 811)</w:t>
      </w:r>
      <w:r w:rsidR="00C92DD6" w:rsidRPr="0052616D">
        <w:rPr>
          <w:rFonts w:cs="Arial"/>
        </w:rPr>
        <w:t xml:space="preserve">. </w:t>
      </w:r>
      <w:r w:rsidRPr="0052616D">
        <w:rPr>
          <w:rFonts w:cs="Arial"/>
        </w:rPr>
        <w:t xml:space="preserve"> In addition,</w:t>
      </w:r>
      <w:r w:rsidR="00C92DD6" w:rsidRPr="0052616D">
        <w:rPr>
          <w:rFonts w:cs="Arial"/>
        </w:rPr>
        <w:t xml:space="preserve"> in 2016</w:t>
      </w:r>
      <w:r w:rsidRPr="0052616D">
        <w:rPr>
          <w:rFonts w:cs="Arial"/>
        </w:rPr>
        <w:t xml:space="preserve"> the </w:t>
      </w:r>
      <w:r w:rsidR="0080307A" w:rsidRPr="0052616D">
        <w:rPr>
          <w:rFonts w:cs="Arial"/>
        </w:rPr>
        <w:t xml:space="preserve">State </w:t>
      </w:r>
      <w:r w:rsidRPr="0052616D">
        <w:rPr>
          <w:rFonts w:cs="Arial"/>
        </w:rPr>
        <w:t xml:space="preserve">approved a new </w:t>
      </w:r>
      <w:r w:rsidRPr="0052616D">
        <w:rPr>
          <w:rFonts w:cs="Arial"/>
          <w:b/>
        </w:rPr>
        <w:t>$</w:t>
      </w:r>
      <w:r w:rsidR="00C92DD6" w:rsidRPr="0052616D">
        <w:rPr>
          <w:rFonts w:cs="Arial"/>
          <w:b/>
        </w:rPr>
        <w:t>2</w:t>
      </w:r>
      <w:r w:rsidR="00A63E14" w:rsidRPr="0052616D">
        <w:rPr>
          <w:rFonts w:cs="Arial"/>
          <w:b/>
        </w:rPr>
        <w:t xml:space="preserve"> </w:t>
      </w:r>
      <w:r w:rsidR="00C303FD" w:rsidRPr="0052616D">
        <w:rPr>
          <w:rFonts w:cs="Arial"/>
          <w:b/>
        </w:rPr>
        <w:t>billion-dollar</w:t>
      </w:r>
      <w:r w:rsidRPr="0052616D">
        <w:rPr>
          <w:rFonts w:cs="Arial"/>
        </w:rPr>
        <w:t xml:space="preserve"> program entitled No Place Like Home (NPLH</w:t>
      </w:r>
      <w:r w:rsidRPr="0052616D">
        <w:rPr>
          <w:rFonts w:cs="Arial"/>
          <w:i/>
        </w:rPr>
        <w:t>).</w:t>
      </w:r>
      <w:r w:rsidRPr="0052616D">
        <w:rPr>
          <w:rFonts w:cs="Arial"/>
        </w:rPr>
        <w:t>  This program targets chronically homeless and mentally ill which will address affordable housing issues for that underserved population.</w:t>
      </w:r>
      <w:r w:rsidRPr="00AA2DE6">
        <w:rPr>
          <w:rFonts w:cs="Arial"/>
        </w:rPr>
        <w:t>   </w:t>
      </w:r>
    </w:p>
    <w:p w14:paraId="4E49458A" w14:textId="77777777" w:rsidR="00D53273" w:rsidRPr="00AA2DE6" w:rsidRDefault="00D53273" w:rsidP="00DB3E1E">
      <w:pPr>
        <w:widowControl w:val="0"/>
        <w:spacing w:before="100" w:beforeAutospacing="1" w:after="100" w:afterAutospacing="1"/>
        <w:ind w:left="720"/>
        <w:rPr>
          <w:rFonts w:cs="Arial"/>
        </w:rPr>
      </w:pPr>
      <w:r w:rsidRPr="00AA2DE6">
        <w:rPr>
          <w:rFonts w:cs="Arial"/>
        </w:rPr>
        <w:lastRenderedPageBreak/>
        <w:t xml:space="preserve">In addition to the programs discussed above, the Department has multiple </w:t>
      </w:r>
      <w:r w:rsidR="00592B04" w:rsidRPr="00AA2DE6">
        <w:rPr>
          <w:rFonts w:cs="Arial"/>
        </w:rPr>
        <w:t xml:space="preserve">state </w:t>
      </w:r>
      <w:r w:rsidRPr="00AA2DE6">
        <w:rPr>
          <w:rFonts w:cs="Arial"/>
        </w:rPr>
        <w:t>programs like</w:t>
      </w:r>
      <w:r w:rsidR="00C92DD6">
        <w:rPr>
          <w:rFonts w:cs="Arial"/>
        </w:rPr>
        <w:t xml:space="preserve"> Affordable Housing and Sustainable Communities</w:t>
      </w:r>
      <w:r w:rsidRPr="00AA2DE6">
        <w:rPr>
          <w:rFonts w:cs="Arial"/>
        </w:rPr>
        <w:t xml:space="preserve"> </w:t>
      </w:r>
      <w:r w:rsidR="00C92DD6">
        <w:rPr>
          <w:rFonts w:cs="Arial"/>
        </w:rPr>
        <w:t>(</w:t>
      </w:r>
      <w:r w:rsidRPr="00C92DD6">
        <w:rPr>
          <w:rFonts w:cs="Arial"/>
        </w:rPr>
        <w:t>AHSC</w:t>
      </w:r>
      <w:r w:rsidR="00C92DD6">
        <w:rPr>
          <w:rFonts w:cs="Arial"/>
        </w:rPr>
        <w:t>) Program</w:t>
      </w:r>
      <w:r w:rsidRPr="00AA2DE6">
        <w:rPr>
          <w:rFonts w:cs="Arial"/>
        </w:rPr>
        <w:t>,</w:t>
      </w:r>
      <w:r w:rsidR="00C92DD6">
        <w:rPr>
          <w:rFonts w:cs="Arial"/>
        </w:rPr>
        <w:t xml:space="preserve"> Multifamily Housing Program</w:t>
      </w:r>
      <w:r w:rsidRPr="00AA2DE6">
        <w:rPr>
          <w:rFonts w:cs="Arial"/>
        </w:rPr>
        <w:t> </w:t>
      </w:r>
      <w:r w:rsidR="00C92DD6">
        <w:rPr>
          <w:rFonts w:cs="Arial"/>
        </w:rPr>
        <w:t>(</w:t>
      </w:r>
      <w:r w:rsidRPr="00C92DD6">
        <w:rPr>
          <w:rFonts w:cs="Arial"/>
        </w:rPr>
        <w:t>MHP</w:t>
      </w:r>
      <w:r w:rsidR="00C92DD6">
        <w:rPr>
          <w:rFonts w:cs="Arial"/>
        </w:rPr>
        <w:t>)</w:t>
      </w:r>
      <w:r w:rsidRPr="00AA2DE6">
        <w:rPr>
          <w:rFonts w:cs="Arial"/>
        </w:rPr>
        <w:t xml:space="preserve">, and </w:t>
      </w:r>
      <w:r w:rsidR="00C92DD6">
        <w:rPr>
          <w:rFonts w:cs="Arial"/>
        </w:rPr>
        <w:t>Mobilehome Park Rehabilitation and Resident Ownership Program (</w:t>
      </w:r>
      <w:r w:rsidRPr="00C92DD6">
        <w:rPr>
          <w:rFonts w:cs="Arial"/>
        </w:rPr>
        <w:t>MPPROP</w:t>
      </w:r>
      <w:r w:rsidR="00C92DD6">
        <w:rPr>
          <w:rFonts w:cs="Arial"/>
        </w:rPr>
        <w:t>)</w:t>
      </w:r>
      <w:r w:rsidRPr="00AA2DE6">
        <w:rPr>
          <w:rFonts w:cs="Arial"/>
        </w:rPr>
        <w:t xml:space="preserve"> that focus on creating and maintaining affordable housing within the </w:t>
      </w:r>
      <w:r w:rsidR="00592B04" w:rsidRPr="00AA2DE6">
        <w:rPr>
          <w:rFonts w:cs="Arial"/>
        </w:rPr>
        <w:t>state</w:t>
      </w:r>
      <w:r w:rsidR="001D536F">
        <w:rPr>
          <w:rFonts w:cs="Arial"/>
        </w:rPr>
        <w:t>.</w:t>
      </w:r>
      <w:r w:rsidR="00C92DD6">
        <w:rPr>
          <w:rFonts w:cs="Arial"/>
        </w:rPr>
        <w:t xml:space="preserve"> </w:t>
      </w:r>
      <w:r w:rsidRPr="00AA2DE6">
        <w:rPr>
          <w:rFonts w:cs="Arial"/>
        </w:rPr>
        <w:t xml:space="preserve"> By means of our </w:t>
      </w:r>
      <w:r w:rsidR="009157BA">
        <w:rPr>
          <w:rFonts w:cs="Arial"/>
        </w:rPr>
        <w:t>f</w:t>
      </w:r>
      <w:r w:rsidRPr="00AA2DE6">
        <w:rPr>
          <w:rFonts w:cs="Arial"/>
        </w:rPr>
        <w:t xml:space="preserve">ederal and </w:t>
      </w:r>
      <w:r w:rsidR="00592B04" w:rsidRPr="00AA2DE6">
        <w:rPr>
          <w:rFonts w:cs="Arial"/>
        </w:rPr>
        <w:t xml:space="preserve">state </w:t>
      </w:r>
      <w:r w:rsidRPr="00AA2DE6">
        <w:rPr>
          <w:rFonts w:cs="Arial"/>
        </w:rPr>
        <w:t xml:space="preserve">affordable housing programs, </w:t>
      </w:r>
      <w:r w:rsidR="009157BA">
        <w:rPr>
          <w:rFonts w:cs="Arial"/>
        </w:rPr>
        <w:t>the Department</w:t>
      </w:r>
      <w:r w:rsidRPr="00AA2DE6">
        <w:rPr>
          <w:rFonts w:cs="Arial"/>
        </w:rPr>
        <w:t xml:space="preserve"> is helping to reduce the effects of poverty throughout the </w:t>
      </w:r>
      <w:r w:rsidR="00592B04" w:rsidRPr="00AA2DE6">
        <w:rPr>
          <w:rFonts w:cs="Arial"/>
        </w:rPr>
        <w:t>state</w:t>
      </w:r>
      <w:r w:rsidRPr="00AA2DE6">
        <w:rPr>
          <w:rFonts w:cs="Arial"/>
        </w:rPr>
        <w:t xml:space="preserve">.  The Department’s focus on Concentrated Poverty areas through our </w:t>
      </w:r>
      <w:r w:rsidR="009157BA">
        <w:rPr>
          <w:rFonts w:cs="Arial"/>
        </w:rPr>
        <w:t>2012 Analysis of Impediments (AI)</w:t>
      </w:r>
      <w:r w:rsidRPr="00AA2DE6">
        <w:rPr>
          <w:rFonts w:cs="Arial"/>
        </w:rPr>
        <w:t xml:space="preserve"> and now the </w:t>
      </w:r>
      <w:r w:rsidR="009157BA">
        <w:rPr>
          <w:rFonts w:cs="Arial"/>
        </w:rPr>
        <w:t>2019</w:t>
      </w:r>
      <w:r w:rsidRPr="00AA2DE6">
        <w:rPr>
          <w:rFonts w:cs="Arial"/>
        </w:rPr>
        <w:t xml:space="preserve"> </w:t>
      </w:r>
      <w:r w:rsidRPr="009157BA">
        <w:rPr>
          <w:rFonts w:cs="Arial"/>
        </w:rPr>
        <w:t>Assessment of Fair Housing</w:t>
      </w:r>
      <w:r w:rsidRPr="00AA2DE6">
        <w:rPr>
          <w:rFonts w:cs="Arial"/>
          <w:b/>
          <w:i/>
        </w:rPr>
        <w:t xml:space="preserve"> </w:t>
      </w:r>
      <w:r w:rsidRPr="009157BA">
        <w:rPr>
          <w:rFonts w:cs="Arial"/>
        </w:rPr>
        <w:t>(AFH)</w:t>
      </w:r>
      <w:r w:rsidRPr="00AA2DE6">
        <w:rPr>
          <w:rFonts w:cs="Arial"/>
        </w:rPr>
        <w:t xml:space="preserve"> report will also assist in facilitating change in the programs we administer by focusing on building in Areas of Opportunity as defined by HUD AFH regulations currently under development.</w:t>
      </w:r>
    </w:p>
    <w:p w14:paraId="6BFDB046" w14:textId="77777777" w:rsidR="00D53273" w:rsidRPr="00AA2DE6" w:rsidRDefault="00D53273" w:rsidP="00C92DD6">
      <w:pPr>
        <w:widowControl w:val="0"/>
        <w:spacing w:before="100" w:beforeAutospacing="1" w:after="100" w:afterAutospacing="1"/>
        <w:ind w:left="720"/>
        <w:rPr>
          <w:rFonts w:cs="Arial"/>
        </w:rPr>
      </w:pPr>
      <w:r w:rsidRPr="00AA2DE6">
        <w:rPr>
          <w:rFonts w:cs="Arial"/>
        </w:rPr>
        <w:t xml:space="preserve">The Departments is committed to focusing on consistent engagement with both our public and private housing stakeholders, as well as the social service agencies that provide </w:t>
      </w:r>
      <w:r w:rsidR="009157BA">
        <w:rPr>
          <w:rFonts w:cs="Arial"/>
        </w:rPr>
        <w:t>the Department</w:t>
      </w:r>
      <w:r w:rsidRPr="00AA2DE6">
        <w:rPr>
          <w:rFonts w:cs="Arial"/>
        </w:rPr>
        <w:t xml:space="preserve"> with feedback</w:t>
      </w:r>
      <w:r w:rsidR="009157BA">
        <w:rPr>
          <w:rFonts w:cs="Arial"/>
        </w:rPr>
        <w:t xml:space="preserve"> on our programs and services.  </w:t>
      </w:r>
      <w:r w:rsidRPr="00AA2DE6">
        <w:rPr>
          <w:rFonts w:cs="Arial"/>
        </w:rPr>
        <w:t xml:space="preserve">Every program, both </w:t>
      </w:r>
      <w:r w:rsidR="00592B04" w:rsidRPr="00AA2DE6">
        <w:rPr>
          <w:rFonts w:cs="Arial"/>
        </w:rPr>
        <w:t xml:space="preserve">federal </w:t>
      </w:r>
      <w:r w:rsidRPr="00AA2DE6">
        <w:rPr>
          <w:rFonts w:cs="Arial"/>
        </w:rPr>
        <w:t xml:space="preserve">and </w:t>
      </w:r>
      <w:r w:rsidR="00592B04" w:rsidRPr="00AA2DE6">
        <w:rPr>
          <w:rFonts w:cs="Arial"/>
        </w:rPr>
        <w:t>state</w:t>
      </w:r>
      <w:r w:rsidRPr="00AA2DE6">
        <w:rPr>
          <w:rFonts w:cs="Arial"/>
        </w:rPr>
        <w:t xml:space="preserve">, which </w:t>
      </w:r>
      <w:r w:rsidR="009157BA">
        <w:rPr>
          <w:rFonts w:cs="Arial"/>
        </w:rPr>
        <w:t>the Department</w:t>
      </w:r>
      <w:r w:rsidRPr="00AA2DE6">
        <w:rPr>
          <w:rFonts w:cs="Arial"/>
        </w:rPr>
        <w:t xml:space="preserve"> administers, conducts some form of public engagement and outreach to the public and private housing sector and social service organizations.  </w:t>
      </w:r>
    </w:p>
    <w:p w14:paraId="7E6051E8" w14:textId="77777777" w:rsidR="005738BA" w:rsidRPr="001D536F" w:rsidRDefault="005738BA" w:rsidP="00A837A2">
      <w:pPr>
        <w:widowControl w:val="0"/>
        <w:spacing w:before="100" w:beforeAutospacing="1" w:after="100" w:afterAutospacing="1"/>
        <w:ind w:left="720"/>
        <w:rPr>
          <w:rFonts w:cs="Arial"/>
          <w:color w:val="1F4E79"/>
        </w:rPr>
      </w:pPr>
      <w:r w:rsidRPr="001D536F">
        <w:rPr>
          <w:rFonts w:cs="Arial"/>
        </w:rPr>
        <w:t>As stated above</w:t>
      </w:r>
      <w:r>
        <w:rPr>
          <w:rFonts w:cs="Arial"/>
        </w:rPr>
        <w:t xml:space="preserve">, the Department’s strategic plan to address the obstacles to meeting underserved needs, foster, and maintain affordable housing is multifaceted with the administration of both federal and state programs.  The Department has been working with our Tax Credit Allocation Committee (TCAC), which runs the State Low-Income Tax Credit (LITC) Program, as well as multiple academics to establish similar criteria for classifying, mapping and rating Areas of Opportunity.  The goal of this collaboration is to have similar eligibility criteria between our Department for Areas of Opportunity that will influence builders to reduce building in Concentrated Areas of Poverty and increase production in Areas of Opportunity, thus helping in the long-term reduction of poverty levels in our state.  </w:t>
      </w:r>
      <w:r w:rsidRPr="001D536F">
        <w:rPr>
          <w:rFonts w:cs="Arial"/>
        </w:rPr>
        <w:t>Through programs like CDBG, AHSC</w:t>
      </w:r>
      <w:r w:rsidR="00323E61">
        <w:rPr>
          <w:rFonts w:cs="Arial"/>
        </w:rPr>
        <w:t>,</w:t>
      </w:r>
      <w:r w:rsidRPr="001D536F">
        <w:rPr>
          <w:rFonts w:cs="Arial"/>
        </w:rPr>
        <w:t xml:space="preserve"> and the new state Transformative Climate Communities (TCC) Program, the Department is also working to help further develop disadvantage communities.  The State’s new Transformative Climate Communities (TCC) Program specifically targets the </w:t>
      </w:r>
      <w:r w:rsidRPr="001D536F">
        <w:rPr>
          <w:rFonts w:cs="Arial"/>
          <w:color w:val="1F497D"/>
        </w:rPr>
        <w:t xml:space="preserve">top </w:t>
      </w:r>
      <w:r w:rsidRPr="001D536F">
        <w:rPr>
          <w:rFonts w:cs="Arial"/>
        </w:rPr>
        <w:t xml:space="preserve">five-percent of disadvantage communities with the worse pollution in the </w:t>
      </w:r>
      <w:r>
        <w:rPr>
          <w:rFonts w:cs="Arial"/>
        </w:rPr>
        <w:t>s</w:t>
      </w:r>
      <w:r w:rsidRPr="00A837A2">
        <w:rPr>
          <w:rFonts w:cs="Arial"/>
        </w:rPr>
        <w:t>tate.</w:t>
      </w:r>
      <w:r w:rsidRPr="001D536F">
        <w:rPr>
          <w:rFonts w:cs="Arial"/>
        </w:rPr>
        <w:t xml:space="preserve">  </w:t>
      </w:r>
      <w:r>
        <w:rPr>
          <w:rFonts w:cs="Arial"/>
        </w:rPr>
        <w:t xml:space="preserve">TCC is one of a suite of programs designed to further California’s goal to reduce greenhouse gas levels statewide.  TCC targets development in the </w:t>
      </w:r>
      <w:r w:rsidR="001D536F">
        <w:rPr>
          <w:rFonts w:cs="Arial"/>
        </w:rPr>
        <w:t>State that has</w:t>
      </w:r>
      <w:r>
        <w:rPr>
          <w:rFonts w:cs="Arial"/>
        </w:rPr>
        <w:t xml:space="preserve"> most disadvantaged communities as defined by a myriad of socio</w:t>
      </w:r>
      <w:r w:rsidRPr="00A837A2">
        <w:rPr>
          <w:rFonts w:cs="Arial"/>
        </w:rPr>
        <w:t>-economic factors.</w:t>
      </w:r>
    </w:p>
    <w:p w14:paraId="50332173" w14:textId="77777777" w:rsidR="00D53273" w:rsidRPr="00683D7F" w:rsidRDefault="00D53273" w:rsidP="00683D7F">
      <w:pPr>
        <w:pStyle w:val="ListParagraph"/>
        <w:widowControl w:val="0"/>
        <w:numPr>
          <w:ilvl w:val="0"/>
          <w:numId w:val="18"/>
        </w:numPr>
        <w:rPr>
          <w:szCs w:val="24"/>
          <w:u w:val="single"/>
        </w:rPr>
      </w:pPr>
      <w:r w:rsidRPr="00683D7F">
        <w:rPr>
          <w:szCs w:val="24"/>
          <w:u w:val="single"/>
        </w:rPr>
        <w:t>Actions taken to enhance coordination between public and private housing and social service agencies.</w:t>
      </w:r>
      <w:r w:rsidRPr="00683D7F">
        <w:rPr>
          <w:color w:val="0000FF"/>
          <w:szCs w:val="24"/>
          <w:u w:val="single"/>
        </w:rPr>
        <w:t xml:space="preserve"> </w:t>
      </w:r>
      <w:hyperlink r:id="rId26" w:history="1">
        <w:r w:rsidR="002E4D24" w:rsidRPr="00683D7F">
          <w:rPr>
            <w:rStyle w:val="Hyperlink"/>
            <w:rFonts w:cs="Arial"/>
            <w:color w:val="0000FF"/>
          </w:rPr>
          <w:t>24 CFR 91.220(k);</w:t>
        </w:r>
      </w:hyperlink>
      <w:r w:rsidRPr="00683D7F">
        <w:rPr>
          <w:color w:val="0000FF"/>
          <w:szCs w:val="24"/>
          <w:u w:val="single"/>
        </w:rPr>
        <w:t xml:space="preserve"> </w:t>
      </w:r>
      <w:hyperlink r:id="rId27" w:history="1">
        <w:r w:rsidRPr="00683D7F">
          <w:rPr>
            <w:rStyle w:val="Hyperlink"/>
            <w:color w:val="0000FF"/>
            <w:szCs w:val="24"/>
          </w:rPr>
          <w:t>91.320(j)</w:t>
        </w:r>
      </w:hyperlink>
    </w:p>
    <w:p w14:paraId="54970F78" w14:textId="77777777" w:rsidR="00D53273" w:rsidRPr="00AA2DE6" w:rsidRDefault="00D53273" w:rsidP="00DF3678">
      <w:pPr>
        <w:widowControl w:val="0"/>
        <w:spacing w:before="100" w:beforeAutospacing="1" w:after="100" w:afterAutospacing="1"/>
        <w:ind w:left="720"/>
        <w:rPr>
          <w:rFonts w:cs="Arial"/>
        </w:rPr>
      </w:pPr>
      <w:r w:rsidRPr="00683D7F">
        <w:rPr>
          <w:rFonts w:cs="Arial"/>
          <w:b/>
        </w:rPr>
        <w:t>Section 811</w:t>
      </w:r>
      <w:r w:rsidRPr="00AA2DE6">
        <w:rPr>
          <w:rFonts w:cs="Arial"/>
          <w:i/>
        </w:rPr>
        <w:t>:</w:t>
      </w:r>
      <w:r w:rsidR="00683D7F">
        <w:rPr>
          <w:rFonts w:cs="Arial"/>
          <w:i/>
        </w:rPr>
        <w:t xml:space="preserve"> </w:t>
      </w:r>
      <w:r w:rsidRPr="00AA2DE6">
        <w:rPr>
          <w:rFonts w:cs="Arial"/>
          <w:i/>
        </w:rPr>
        <w:t xml:space="preserve"> </w:t>
      </w:r>
      <w:r w:rsidR="00A75B72">
        <w:rPr>
          <w:rFonts w:cs="Arial"/>
          <w:szCs w:val="24"/>
        </w:rPr>
        <w:t xml:space="preserve">The Department continues to implement the Section 811 PRA Program in collaboration with the </w:t>
      </w:r>
      <w:r w:rsidR="00323E61">
        <w:rPr>
          <w:rFonts w:cs="Arial"/>
          <w:szCs w:val="24"/>
        </w:rPr>
        <w:t>California</w:t>
      </w:r>
      <w:r w:rsidR="00A75B72">
        <w:rPr>
          <w:rFonts w:cs="Arial"/>
          <w:szCs w:val="24"/>
        </w:rPr>
        <w:t xml:space="preserve"> Department of Health Care Services (DHCS), California Department of Developmental Services (DDS), California Housing Finance Agency (</w:t>
      </w:r>
      <w:r w:rsidR="00A75B72" w:rsidRPr="008514BD">
        <w:rPr>
          <w:rFonts w:cs="Arial"/>
          <w:szCs w:val="24"/>
        </w:rPr>
        <w:t>CalHFA), and TCAC.  The program provide</w:t>
      </w:r>
      <w:r w:rsidR="00323E61">
        <w:rPr>
          <w:rFonts w:cs="Arial"/>
          <w:szCs w:val="24"/>
        </w:rPr>
        <w:t>s</w:t>
      </w:r>
      <w:r w:rsidR="00A75B72" w:rsidRPr="008514BD">
        <w:rPr>
          <w:rFonts w:cs="Arial"/>
          <w:szCs w:val="24"/>
        </w:rPr>
        <w:t xml:space="preserve"> project-based rental assistance to affordable housing projects to serve persons ages 18-61 exiting MediCal funded long-term care facilities, such as nursing homes, as well as persons at-risk of </w:t>
      </w:r>
      <w:r w:rsidR="00A75B72" w:rsidRPr="008514BD">
        <w:rPr>
          <w:rFonts w:cs="Arial"/>
          <w:szCs w:val="24"/>
        </w:rPr>
        <w:lastRenderedPageBreak/>
        <w:t xml:space="preserve">returning to these settings due to loss of housing. To date the program has awarded </w:t>
      </w:r>
      <w:r w:rsidR="00A75B72" w:rsidRPr="001D536F">
        <w:rPr>
          <w:rFonts w:cs="Arial"/>
          <w:b/>
          <w:szCs w:val="24"/>
        </w:rPr>
        <w:t>$7.1 million</w:t>
      </w:r>
      <w:r w:rsidR="00A75B72" w:rsidRPr="008514BD">
        <w:rPr>
          <w:rFonts w:cs="Arial"/>
          <w:szCs w:val="24"/>
        </w:rPr>
        <w:t xml:space="preserve"> to </w:t>
      </w:r>
      <w:r w:rsidR="00DF3678" w:rsidRPr="00DF3678">
        <w:rPr>
          <w:rFonts w:cs="Arial"/>
          <w:b/>
          <w:szCs w:val="24"/>
        </w:rPr>
        <w:t>14</w:t>
      </w:r>
      <w:r w:rsidR="00A75B72" w:rsidRPr="008514BD">
        <w:rPr>
          <w:rFonts w:cs="Arial"/>
          <w:szCs w:val="24"/>
        </w:rPr>
        <w:t xml:space="preserve"> projects to provide an estimated </w:t>
      </w:r>
      <w:r w:rsidR="00A75B72" w:rsidRPr="001D536F">
        <w:rPr>
          <w:rFonts w:cs="Arial"/>
          <w:b/>
          <w:szCs w:val="24"/>
        </w:rPr>
        <w:t>163 units</w:t>
      </w:r>
      <w:r w:rsidR="00A75B72" w:rsidRPr="008514BD">
        <w:rPr>
          <w:rFonts w:cs="Arial"/>
          <w:szCs w:val="24"/>
        </w:rPr>
        <w:t xml:space="preserve"> assisted with 811 funds. </w:t>
      </w:r>
      <w:r w:rsidR="001D536F">
        <w:rPr>
          <w:rFonts w:cs="Arial"/>
          <w:szCs w:val="24"/>
        </w:rPr>
        <w:t xml:space="preserve"> </w:t>
      </w:r>
      <w:r w:rsidR="00A75B72" w:rsidRPr="008514BD">
        <w:rPr>
          <w:rFonts w:cs="Arial"/>
          <w:szCs w:val="24"/>
        </w:rPr>
        <w:t xml:space="preserve">For more information, see </w:t>
      </w:r>
      <w:hyperlink r:id="rId28" w:history="1">
        <w:r w:rsidR="00A75B72" w:rsidRPr="008514BD">
          <w:rPr>
            <w:rStyle w:val="Hyperlink"/>
            <w:rFonts w:cs="Arial"/>
            <w:color w:val="0000FF"/>
            <w:szCs w:val="24"/>
          </w:rPr>
          <w:t>http://www.calhfa.ca.gov/multifamily/section811/index.htm</w:t>
        </w:r>
      </w:hyperlink>
    </w:p>
    <w:p w14:paraId="42394E81" w14:textId="77777777" w:rsidR="00D53273" w:rsidRPr="00326CCF" w:rsidRDefault="00683D7F" w:rsidP="00683D7F">
      <w:pPr>
        <w:widowControl w:val="0"/>
        <w:spacing w:before="100" w:beforeAutospacing="1" w:after="100" w:afterAutospacing="1"/>
        <w:ind w:left="720"/>
        <w:rPr>
          <w:rFonts w:cs="Arial"/>
          <w:color w:val="CC0000"/>
        </w:rPr>
      </w:pPr>
      <w:r>
        <w:rPr>
          <w:rFonts w:cs="Arial"/>
        </w:rPr>
        <w:t>Additionally, the Department</w:t>
      </w:r>
      <w:r w:rsidR="00D53273" w:rsidRPr="00AA2DE6">
        <w:rPr>
          <w:rFonts w:cs="Arial"/>
        </w:rPr>
        <w:t xml:space="preserve"> continues to participate in several interagency committees related to Smart Growth and increasing transit-oriented developments, infill housing, and other housing options to reduce the environmental impacts of commuting through the AHSC Program discussed above. </w:t>
      </w:r>
      <w:r>
        <w:rPr>
          <w:rFonts w:cs="Arial"/>
        </w:rPr>
        <w:t xml:space="preserve"> </w:t>
      </w:r>
      <w:hyperlink r:id="rId29" w:history="1">
        <w:r w:rsidRPr="00683D7F">
          <w:rPr>
            <w:rStyle w:val="Hyperlink"/>
            <w:rFonts w:cs="Arial"/>
            <w:color w:val="0000FF"/>
          </w:rPr>
          <w:t>See: http://www.hcd.ca.gov/grants-funding/active-funding/ahsc.shtml</w:t>
        </w:r>
      </w:hyperlink>
    </w:p>
    <w:p w14:paraId="2B857186" w14:textId="77777777" w:rsidR="00D53273" w:rsidRPr="002E4D24" w:rsidRDefault="00D53273" w:rsidP="00683D7F">
      <w:pPr>
        <w:widowControl w:val="0"/>
        <w:ind w:left="720"/>
        <w:rPr>
          <w:rFonts w:eastAsia="Calibri" w:cs="Arial"/>
          <w:szCs w:val="24"/>
        </w:rPr>
      </w:pPr>
      <w:r w:rsidRPr="002E4D24">
        <w:rPr>
          <w:rFonts w:cs="Arial"/>
          <w:b/>
          <w:szCs w:val="24"/>
        </w:rPr>
        <w:t xml:space="preserve">HOPWA: </w:t>
      </w:r>
      <w:r w:rsidR="00D30FB2" w:rsidRPr="002E4D24">
        <w:rPr>
          <w:rFonts w:cs="Arial"/>
          <w:b/>
          <w:szCs w:val="24"/>
        </w:rPr>
        <w:t xml:space="preserve"> </w:t>
      </w:r>
      <w:r w:rsidR="00D30FB2" w:rsidRPr="002E4D24">
        <w:rPr>
          <w:rFonts w:cs="Arial"/>
          <w:szCs w:val="24"/>
        </w:rPr>
        <w:t xml:space="preserve">California Department of Public </w:t>
      </w:r>
      <w:r w:rsidR="005F652B" w:rsidRPr="002E4D24">
        <w:rPr>
          <w:rFonts w:cs="Arial"/>
          <w:szCs w:val="24"/>
        </w:rPr>
        <w:t>Health</w:t>
      </w:r>
      <w:r w:rsidR="00D30FB2" w:rsidRPr="002E4D24">
        <w:rPr>
          <w:rFonts w:cs="Arial"/>
          <w:szCs w:val="24"/>
        </w:rPr>
        <w:t>/Office of AIDS (</w:t>
      </w:r>
      <w:r w:rsidRPr="002E4D24">
        <w:rPr>
          <w:rFonts w:cs="Arial"/>
          <w:szCs w:val="24"/>
        </w:rPr>
        <w:t>C</w:t>
      </w:r>
      <w:r w:rsidRPr="002E4D24">
        <w:rPr>
          <w:rFonts w:eastAsia="Calibri" w:cs="Arial"/>
          <w:szCs w:val="24"/>
        </w:rPr>
        <w:t>DPH/OA</w:t>
      </w:r>
      <w:r w:rsidR="00D30FB2" w:rsidRPr="002E4D24">
        <w:rPr>
          <w:rFonts w:eastAsia="Calibri" w:cs="Arial"/>
          <w:szCs w:val="24"/>
        </w:rPr>
        <w:t>)</w:t>
      </w:r>
      <w:r w:rsidRPr="002E4D24">
        <w:rPr>
          <w:rFonts w:eastAsia="Calibri" w:cs="Arial"/>
          <w:szCs w:val="24"/>
        </w:rPr>
        <w:t xml:space="preserve"> continues to collaborate with </w:t>
      </w:r>
      <w:r w:rsidR="00D30FB2" w:rsidRPr="002E4D24">
        <w:rPr>
          <w:rFonts w:eastAsia="Calibri" w:cs="Arial"/>
          <w:szCs w:val="24"/>
        </w:rPr>
        <w:t xml:space="preserve">the </w:t>
      </w:r>
      <w:r w:rsidR="005F652B">
        <w:rPr>
          <w:rFonts w:eastAsia="Calibri" w:cs="Arial"/>
          <w:szCs w:val="24"/>
        </w:rPr>
        <w:t>Department</w:t>
      </w:r>
      <w:r w:rsidR="00D30FB2" w:rsidRPr="002E4D24">
        <w:rPr>
          <w:rFonts w:eastAsia="Calibri" w:cs="Arial"/>
          <w:szCs w:val="24"/>
        </w:rPr>
        <w:t xml:space="preserve"> </w:t>
      </w:r>
      <w:r w:rsidRPr="002E4D24">
        <w:rPr>
          <w:rFonts w:eastAsia="Calibri" w:cs="Arial"/>
          <w:szCs w:val="24"/>
        </w:rPr>
        <w:t xml:space="preserve">through involvement in the </w:t>
      </w:r>
      <w:r w:rsidR="008C5148" w:rsidRPr="002E4D24">
        <w:rPr>
          <w:rFonts w:eastAsia="Calibri" w:cs="Arial"/>
          <w:szCs w:val="24"/>
        </w:rPr>
        <w:t xml:space="preserve">state’s </w:t>
      </w:r>
      <w:r w:rsidRPr="002E4D24">
        <w:rPr>
          <w:rFonts w:eastAsia="Calibri" w:cs="Arial"/>
          <w:szCs w:val="24"/>
        </w:rPr>
        <w:t>Consolidated Plan</w:t>
      </w:r>
      <w:r w:rsidR="00D30FB2" w:rsidRPr="002E4D24">
        <w:rPr>
          <w:rFonts w:eastAsia="Calibri" w:cs="Arial"/>
          <w:szCs w:val="24"/>
        </w:rPr>
        <w:t xml:space="preserve"> (ConPlan)</w:t>
      </w:r>
      <w:r w:rsidRPr="002E4D24">
        <w:rPr>
          <w:rFonts w:eastAsia="Calibri" w:cs="Arial"/>
          <w:szCs w:val="24"/>
        </w:rPr>
        <w:t xml:space="preserve"> and reporting processes. In addition, </w:t>
      </w:r>
      <w:r w:rsidRPr="002E4D24">
        <w:rPr>
          <w:rFonts w:cs="Arial"/>
          <w:szCs w:val="24"/>
        </w:rPr>
        <w:t>C</w:t>
      </w:r>
      <w:r w:rsidRPr="002E4D24">
        <w:rPr>
          <w:rFonts w:eastAsia="Calibri" w:cs="Arial"/>
          <w:szCs w:val="24"/>
        </w:rPr>
        <w:t xml:space="preserve">DPH/OA regularly coordinates with the </w:t>
      </w:r>
      <w:r w:rsidR="005F652B">
        <w:rPr>
          <w:rFonts w:eastAsia="Calibri" w:cs="Arial"/>
          <w:szCs w:val="24"/>
        </w:rPr>
        <w:t>DHCS</w:t>
      </w:r>
      <w:r w:rsidRPr="002E4D24">
        <w:rPr>
          <w:rFonts w:eastAsia="Calibri" w:cs="Arial"/>
          <w:szCs w:val="24"/>
        </w:rPr>
        <w:t xml:space="preserve"> regarding Medi-Cal and the Affordable Care Act, mental health services for persons living with HIV, the AIDS Medi-Cal Waiver Program.  </w:t>
      </w:r>
      <w:r w:rsidRPr="002E4D24">
        <w:rPr>
          <w:rFonts w:cs="Arial"/>
          <w:szCs w:val="24"/>
        </w:rPr>
        <w:t>C</w:t>
      </w:r>
      <w:r w:rsidRPr="002E4D24">
        <w:rPr>
          <w:rFonts w:eastAsia="Calibri" w:cs="Arial"/>
          <w:szCs w:val="24"/>
        </w:rPr>
        <w:t>DPH/OA also works with University of California San Francisco as part of the National Medical Monitoring Project.</w:t>
      </w:r>
    </w:p>
    <w:p w14:paraId="3960E02C" w14:textId="77777777" w:rsidR="00D53273" w:rsidRPr="002E4D24" w:rsidRDefault="00D53273" w:rsidP="00683D7F">
      <w:pPr>
        <w:ind w:left="720"/>
        <w:rPr>
          <w:rFonts w:cs="Arial"/>
          <w:szCs w:val="24"/>
        </w:rPr>
      </w:pPr>
      <w:r w:rsidRPr="002E4D24">
        <w:rPr>
          <w:rFonts w:cs="Arial"/>
          <w:szCs w:val="24"/>
        </w:rPr>
        <w:t xml:space="preserve">CDPH/OA published the </w:t>
      </w:r>
      <w:r w:rsidRPr="002E4D24">
        <w:rPr>
          <w:rFonts w:cs="Arial"/>
          <w:i/>
          <w:iCs/>
          <w:szCs w:val="24"/>
        </w:rPr>
        <w:t>California's Integrated HIV Surveillance, Prevention and Care Plan for 2016-20</w:t>
      </w:r>
      <w:r w:rsidRPr="002E4D24">
        <w:rPr>
          <w:rFonts w:cs="Arial"/>
          <w:szCs w:val="24"/>
        </w:rPr>
        <w:t xml:space="preserve">, as required by the Centers for Disease Control and Prevention (CDC) and the Health Resources and Services Administration (HRSA). </w:t>
      </w:r>
      <w:r w:rsidR="005F652B">
        <w:rPr>
          <w:rFonts w:cs="Arial"/>
          <w:szCs w:val="24"/>
        </w:rPr>
        <w:t xml:space="preserve"> </w:t>
      </w:r>
      <w:r w:rsidRPr="002E4D24">
        <w:rPr>
          <w:rFonts w:cs="Arial"/>
          <w:szCs w:val="24"/>
        </w:rPr>
        <w:t xml:space="preserve">CDPH/OA’s HOPWA staff has been involved in the planning process from the start. </w:t>
      </w:r>
      <w:r w:rsidR="005F652B">
        <w:rPr>
          <w:rFonts w:cs="Arial"/>
          <w:szCs w:val="24"/>
        </w:rPr>
        <w:t xml:space="preserve"> </w:t>
      </w:r>
      <w:r w:rsidRPr="002E4D24">
        <w:rPr>
          <w:rFonts w:cs="Arial"/>
          <w:szCs w:val="24"/>
        </w:rPr>
        <w:t xml:space="preserve">The need for affordable, safe housing for PLWH is highlighted in the plan.  </w:t>
      </w:r>
    </w:p>
    <w:p w14:paraId="5484BE31" w14:textId="77777777" w:rsidR="00D53273" w:rsidRPr="002E4D24" w:rsidRDefault="00D53273" w:rsidP="0067259C">
      <w:pPr>
        <w:keepNext/>
        <w:spacing w:before="100" w:beforeAutospacing="1" w:after="100" w:afterAutospacing="1"/>
        <w:ind w:left="720"/>
        <w:rPr>
          <w:rFonts w:cs="Arial"/>
          <w:szCs w:val="24"/>
        </w:rPr>
      </w:pPr>
      <w:r w:rsidRPr="002E4D24">
        <w:rPr>
          <w:rFonts w:cs="Arial"/>
          <w:szCs w:val="24"/>
        </w:rPr>
        <w:t xml:space="preserve">HOPWA project sponsors participate in their local Ryan White Part B HIV/AIDS Advisory or Planning Group, and actively participate in their local Continuum of Care planning group or homeless task force/coalition to ensure the HIV community is represented.  All project sponsors provide case management services to clients, which include linkages to other agencies, and enhancing collaborative relationships with other government and private service agencies. </w:t>
      </w:r>
    </w:p>
    <w:p w14:paraId="03813F36" w14:textId="77777777" w:rsidR="00D53273" w:rsidRPr="004905D3" w:rsidRDefault="00D53273" w:rsidP="00D53273">
      <w:pPr>
        <w:rPr>
          <w:rFonts w:cs="Arial"/>
          <w:b/>
          <w:color w:val="002060"/>
          <w:szCs w:val="26"/>
          <w:u w:val="single"/>
        </w:rPr>
      </w:pPr>
      <w:r w:rsidRPr="004905D3">
        <w:rPr>
          <w:rFonts w:cs="Arial"/>
          <w:b/>
          <w:szCs w:val="26"/>
          <w:u w:val="single"/>
        </w:rPr>
        <w:t>Actions taken to enhance coordination between public and private housing and social service</w:t>
      </w:r>
    </w:p>
    <w:p w14:paraId="1062B331" w14:textId="77777777" w:rsidR="00D53273" w:rsidRPr="002E4D24" w:rsidRDefault="00D53273" w:rsidP="002E4D24">
      <w:pPr>
        <w:pStyle w:val="ListParagraph"/>
        <w:widowControl w:val="0"/>
        <w:numPr>
          <w:ilvl w:val="0"/>
          <w:numId w:val="17"/>
        </w:numPr>
        <w:spacing w:before="100" w:beforeAutospacing="1" w:after="100" w:afterAutospacing="1"/>
        <w:rPr>
          <w:u w:val="single"/>
        </w:rPr>
      </w:pPr>
      <w:r w:rsidRPr="002E4D24">
        <w:rPr>
          <w:u w:val="single"/>
        </w:rPr>
        <w:t>State and Federally Funded Disaster Assistance: FEDERAL FUNDS</w:t>
      </w:r>
    </w:p>
    <w:p w14:paraId="35811799" w14:textId="77777777" w:rsidR="00C3427B" w:rsidRDefault="00C3427B" w:rsidP="00D07D8D">
      <w:pPr>
        <w:spacing w:before="100" w:beforeAutospacing="1" w:after="100" w:afterAutospacing="1"/>
        <w:ind w:left="720"/>
        <w:rPr>
          <w:rFonts w:cs="Arial"/>
        </w:rPr>
      </w:pPr>
      <w:r>
        <w:rPr>
          <w:rFonts w:cs="Arial"/>
          <w:b/>
          <w:bCs/>
          <w:i/>
          <w:iCs/>
        </w:rPr>
        <w:t>The National Disaster Resilience Competition (NDRC)</w:t>
      </w:r>
      <w:r>
        <w:rPr>
          <w:rFonts w:cs="Arial"/>
        </w:rPr>
        <w:t xml:space="preserve"> </w:t>
      </w:r>
      <w:r w:rsidRPr="00582FD7">
        <w:rPr>
          <w:rFonts w:cs="Arial"/>
        </w:rPr>
        <w:t xml:space="preserve">awarded </w:t>
      </w:r>
      <w:r w:rsidRPr="00D07D8D">
        <w:rPr>
          <w:rFonts w:cs="Arial"/>
          <w:b/>
          <w:szCs w:val="24"/>
        </w:rPr>
        <w:t>$70,359,459</w:t>
      </w:r>
      <w:r w:rsidRPr="00582FD7">
        <w:rPr>
          <w:rFonts w:cs="Arial"/>
          <w:szCs w:val="24"/>
        </w:rPr>
        <w:t xml:space="preserve"> </w:t>
      </w:r>
      <w:r>
        <w:rPr>
          <w:rFonts w:cs="Arial"/>
        </w:rPr>
        <w:t xml:space="preserve">in Community Development Block Grant-National Disaster Resilience (CDBG-NDR) funding to the State of California for the Community and Watershed Resilience Program (CWRP).  The application process was headed by the Governor’s Office of Planning and Research in full collaboration with the Department, CalEPA, CAL FIRE, Tuolumne County, the California Conservation Corps, and the Sierra Nevada Conservancy.  The CWRP was designed around three interconnected elements to drive recovery and embed resilience in the social and natural systems of the county.  </w:t>
      </w:r>
    </w:p>
    <w:p w14:paraId="34731649" w14:textId="77777777" w:rsidR="00C3427B" w:rsidRPr="00582FD7" w:rsidRDefault="00C3427B" w:rsidP="004905D3">
      <w:pPr>
        <w:spacing w:before="100" w:beforeAutospacing="1" w:after="100" w:afterAutospacing="1"/>
        <w:ind w:left="720"/>
        <w:rPr>
          <w:rFonts w:cs="Arial"/>
        </w:rPr>
      </w:pPr>
      <w:r>
        <w:rPr>
          <w:rFonts w:cs="Arial"/>
        </w:rPr>
        <w:lastRenderedPageBreak/>
        <w:t>HUDs award to California provides funding in each of these three areas:</w:t>
      </w:r>
      <w:r w:rsidR="00582FD7">
        <w:rPr>
          <w:rFonts w:cs="Arial"/>
        </w:rPr>
        <w:t xml:space="preserve"> </w:t>
      </w:r>
      <w:r>
        <w:rPr>
          <w:rFonts w:cs="Arial"/>
        </w:rPr>
        <w:t xml:space="preserve"> </w:t>
      </w:r>
      <w:r w:rsidR="007E2A2B">
        <w:rPr>
          <w:rFonts w:cs="Arial"/>
        </w:rPr>
        <w:t xml:space="preserve">1) </w:t>
      </w:r>
      <w:r>
        <w:rPr>
          <w:rFonts w:cs="Arial"/>
        </w:rPr>
        <w:t xml:space="preserve">Forest and Watershed Health - The three main activities in this pillar are biomass removal, reforestation and restoration, and the creation of a network of strategic fuel breaks to help slow down the path of any future fire in the area, as well as help guard against such sizable damage. </w:t>
      </w:r>
      <w:r w:rsidR="007E2A2B">
        <w:rPr>
          <w:rFonts w:cs="Arial"/>
        </w:rPr>
        <w:t xml:space="preserve">2) </w:t>
      </w:r>
      <w:r>
        <w:rPr>
          <w:rFonts w:cs="Arial"/>
        </w:rPr>
        <w:t>Biomass Utilization Facility - Th</w:t>
      </w:r>
      <w:r w:rsidR="007E2A2B">
        <w:rPr>
          <w:rFonts w:cs="Arial"/>
        </w:rPr>
        <w:t>e</w:t>
      </w:r>
      <w:r>
        <w:rPr>
          <w:rFonts w:cs="Arial"/>
        </w:rPr>
        <w:t xml:space="preserve"> goal of this facility is to provide clean power and provide new jobs and training in the clean energy industry.  If siting can be located in close proximity, heating and cooling to the Community Resiliency Center and residents of Tuolumne County can be included in the design of the facility.  </w:t>
      </w:r>
      <w:r w:rsidR="007E2A2B">
        <w:rPr>
          <w:rFonts w:cs="Arial"/>
        </w:rPr>
        <w:t xml:space="preserve">3) </w:t>
      </w:r>
      <w:r>
        <w:rPr>
          <w:rFonts w:cs="Arial"/>
        </w:rPr>
        <w:t>Community Resilience Center - This center will serve multiple purposes, including during an emergency as an evacuation center that includes animal boarding, Wi-Fi, and other needed services; provide year-round needed services such as a food bank, education and training facilities, commercial kitchen, and childcare; as well as provide facilities for the</w:t>
      </w:r>
      <w:r w:rsidR="004905D3">
        <w:rPr>
          <w:rFonts w:cs="Arial"/>
        </w:rPr>
        <w:t xml:space="preserve"> California Conservation Corps.</w:t>
      </w:r>
    </w:p>
    <w:p w14:paraId="3E2AAFDC" w14:textId="77777777" w:rsidR="00C3427B" w:rsidRPr="00582FD7" w:rsidRDefault="00C3427B" w:rsidP="00FF4994">
      <w:pPr>
        <w:spacing w:before="100" w:beforeAutospacing="1" w:after="100" w:afterAutospacing="1"/>
        <w:ind w:left="720"/>
        <w:rPr>
          <w:rFonts w:cs="Arial"/>
          <w:strike/>
        </w:rPr>
      </w:pPr>
      <w:r w:rsidRPr="00582FD7">
        <w:rPr>
          <w:rFonts w:cs="Arial"/>
        </w:rPr>
        <w:t xml:space="preserve">The </w:t>
      </w:r>
      <w:r w:rsidR="007E2A2B">
        <w:rPr>
          <w:rFonts w:cs="Arial"/>
        </w:rPr>
        <w:t>Department</w:t>
      </w:r>
      <w:r w:rsidR="00B3547A">
        <w:rPr>
          <w:rFonts w:cs="Arial"/>
        </w:rPr>
        <w:t xml:space="preserve"> </w:t>
      </w:r>
      <w:r w:rsidRPr="00582FD7">
        <w:rPr>
          <w:rFonts w:cs="Arial"/>
        </w:rPr>
        <w:t>received its grant contract from HUD for this funding in January 2017, HUD approved California’s Fiscal Certification Package, performance metric requirements and Action Plan.  The Department has completed procurement of a CDBG-NDR technical assistance consultant to build capacity and ensure compliance of the program funding across all partners activities.  The contract for that consultant was executed March 2, 2017</w:t>
      </w:r>
      <w:r w:rsidR="005C3724" w:rsidRPr="00582FD7">
        <w:rPr>
          <w:rFonts w:cs="Arial"/>
        </w:rPr>
        <w:t>.</w:t>
      </w:r>
    </w:p>
    <w:p w14:paraId="06A94D63" w14:textId="5487CF5C" w:rsidR="00C3427B" w:rsidRPr="00A74C36" w:rsidRDefault="00C3427B" w:rsidP="00DF3678">
      <w:pPr>
        <w:spacing w:before="100" w:beforeAutospacing="1" w:after="100" w:afterAutospacing="1"/>
        <w:ind w:left="720"/>
        <w:rPr>
          <w:rFonts w:cs="Arial"/>
        </w:rPr>
      </w:pPr>
      <w:r w:rsidRPr="00582FD7">
        <w:rPr>
          <w:rFonts w:cs="Arial"/>
          <w:b/>
          <w:bCs/>
        </w:rPr>
        <w:t>Community Development Block Grant (CDBG):</w:t>
      </w:r>
      <w:r w:rsidRPr="00582FD7">
        <w:rPr>
          <w:rFonts w:cs="Arial"/>
        </w:rPr>
        <w:t xml:space="preserve"> </w:t>
      </w:r>
      <w:r w:rsidR="00CF3B1E">
        <w:rPr>
          <w:rFonts w:cs="Arial"/>
        </w:rPr>
        <w:t xml:space="preserve"> The Department</w:t>
      </w:r>
      <w:r w:rsidRPr="00582FD7">
        <w:rPr>
          <w:rFonts w:cs="Arial"/>
        </w:rPr>
        <w:t xml:space="preserve"> released a CDBG Disaster NOFA for the 2015 Butte and Valley </w:t>
      </w:r>
      <w:r w:rsidR="00CF3B1E" w:rsidRPr="00582FD7">
        <w:rPr>
          <w:rFonts w:cs="Arial"/>
        </w:rPr>
        <w:t>Wildfires that</w:t>
      </w:r>
      <w:r w:rsidRPr="00582FD7">
        <w:rPr>
          <w:rFonts w:cs="Arial"/>
        </w:rPr>
        <w:t xml:space="preserve"> affected Lake and Calaveras counties.  Both counties were declared a Federal Disaster [DR-4340-CA NR 016] and State Emergency in September of 2015.  The Department </w:t>
      </w:r>
      <w:r w:rsidRPr="00CF3B1E">
        <w:rPr>
          <w:rFonts w:cs="Arial"/>
        </w:rPr>
        <w:t xml:space="preserve">made </w:t>
      </w:r>
      <w:r w:rsidR="007E2A2B">
        <w:rPr>
          <w:rFonts w:cs="Arial"/>
        </w:rPr>
        <w:t>$</w:t>
      </w:r>
      <w:r w:rsidR="00CF3B1E" w:rsidRPr="00D07D8D">
        <w:rPr>
          <w:rFonts w:cs="Arial"/>
          <w:b/>
        </w:rPr>
        <w:t>10.4</w:t>
      </w:r>
      <w:r w:rsidRPr="00D07D8D">
        <w:rPr>
          <w:rFonts w:cs="Arial"/>
          <w:b/>
        </w:rPr>
        <w:t xml:space="preserve"> million</w:t>
      </w:r>
      <w:r w:rsidRPr="00582FD7">
        <w:rPr>
          <w:rFonts w:cs="Arial"/>
        </w:rPr>
        <w:t xml:space="preserve"> available in CDBG funds to assist those two counties in their recovery effort.  The CDBG Disaster NOFA was released on August 30, 2016. </w:t>
      </w:r>
      <w:r w:rsidR="00CF3B1E">
        <w:rPr>
          <w:rFonts w:cs="Arial"/>
        </w:rPr>
        <w:t xml:space="preserve"> </w:t>
      </w:r>
      <w:r w:rsidR="00383B9F">
        <w:rPr>
          <w:rFonts w:cs="Arial"/>
        </w:rPr>
        <w:t>Recently this NOFA’s deadline has been</w:t>
      </w:r>
      <w:r w:rsidR="00CF3B1E">
        <w:rPr>
          <w:rFonts w:cs="Arial"/>
        </w:rPr>
        <w:t xml:space="preserve"> extended</w:t>
      </w:r>
      <w:r w:rsidR="00E63A49">
        <w:rPr>
          <w:rFonts w:cs="Arial"/>
        </w:rPr>
        <w:t xml:space="preserve"> to August 31, 2018</w:t>
      </w:r>
      <w:r w:rsidR="00CF3B1E">
        <w:rPr>
          <w:rFonts w:cs="Arial"/>
        </w:rPr>
        <w:t xml:space="preserve"> to </w:t>
      </w:r>
      <w:r w:rsidR="00383B9F">
        <w:rPr>
          <w:rFonts w:cs="Arial"/>
        </w:rPr>
        <w:t xml:space="preserve">allow the </w:t>
      </w:r>
      <w:r w:rsidR="00D36E84">
        <w:rPr>
          <w:rFonts w:cs="Arial"/>
        </w:rPr>
        <w:t>counties more time to address their recovery efforts</w:t>
      </w:r>
      <w:r w:rsidR="00CF3B1E">
        <w:rPr>
          <w:rFonts w:cs="Arial"/>
        </w:rPr>
        <w:t xml:space="preserve">.  </w:t>
      </w:r>
      <w:r w:rsidR="00273DC9">
        <w:rPr>
          <w:rFonts w:cs="Arial"/>
        </w:rPr>
        <w:t xml:space="preserve">In September of 2016, the </w:t>
      </w:r>
      <w:r w:rsidR="00CF3B1E">
        <w:rPr>
          <w:rFonts w:cs="Arial"/>
        </w:rPr>
        <w:t xml:space="preserve">Department </w:t>
      </w:r>
      <w:r w:rsidRPr="00582FD7">
        <w:rPr>
          <w:rFonts w:cs="Arial"/>
        </w:rPr>
        <w:t xml:space="preserve">also released a special CDBG Drought Lateral NOFA for </w:t>
      </w:r>
      <w:r w:rsidRPr="00D07D8D">
        <w:rPr>
          <w:rFonts w:cs="Arial"/>
          <w:b/>
        </w:rPr>
        <w:t>$</w:t>
      </w:r>
      <w:r w:rsidR="00CF3B1E" w:rsidRPr="00D07D8D">
        <w:rPr>
          <w:rFonts w:cs="Arial"/>
          <w:b/>
        </w:rPr>
        <w:t>7</w:t>
      </w:r>
      <w:r w:rsidRPr="00D07D8D">
        <w:rPr>
          <w:rFonts w:cs="Arial"/>
          <w:b/>
        </w:rPr>
        <w:t xml:space="preserve"> million</w:t>
      </w:r>
      <w:r w:rsidRPr="00CF3B1E">
        <w:rPr>
          <w:rFonts w:cs="Arial"/>
        </w:rPr>
        <w:t xml:space="preserve"> for</w:t>
      </w:r>
      <w:r w:rsidRPr="00582FD7">
        <w:rPr>
          <w:rFonts w:cs="Arial"/>
        </w:rPr>
        <w:t xml:space="preserve"> direct funding relief and mitigation of the effects of the California Drought Disaster, as declared by Governor Brown in his 2014 Drought Declaration.  </w:t>
      </w:r>
      <w:r w:rsidR="00273DC9">
        <w:rPr>
          <w:rFonts w:cs="Arial"/>
        </w:rPr>
        <w:t xml:space="preserve">The first round of funding had one award of </w:t>
      </w:r>
      <w:r w:rsidR="001C4CF2">
        <w:rPr>
          <w:rFonts w:cs="Arial"/>
        </w:rPr>
        <w:t>$</w:t>
      </w:r>
      <w:r w:rsidR="00273DC9" w:rsidRPr="00273DC9">
        <w:rPr>
          <w:rFonts w:cs="Arial"/>
          <w:b/>
        </w:rPr>
        <w:t>2 million</w:t>
      </w:r>
      <w:r w:rsidR="0060232B">
        <w:rPr>
          <w:rFonts w:cs="Arial"/>
        </w:rPr>
        <w:t xml:space="preserve">.  </w:t>
      </w:r>
      <w:r w:rsidR="00273DC9">
        <w:rPr>
          <w:rFonts w:cs="Arial"/>
        </w:rPr>
        <w:t xml:space="preserve">In January of 2017, </w:t>
      </w:r>
      <w:r w:rsidR="001C4CF2">
        <w:rPr>
          <w:rFonts w:cs="Arial"/>
        </w:rPr>
        <w:t xml:space="preserve">the </w:t>
      </w:r>
      <w:r w:rsidR="00273DC9">
        <w:rPr>
          <w:rFonts w:cs="Arial"/>
        </w:rPr>
        <w:t xml:space="preserve">CDBG Drought Lateral NOFA was </w:t>
      </w:r>
      <w:r w:rsidR="001C4CF2">
        <w:rPr>
          <w:rFonts w:cs="Arial"/>
        </w:rPr>
        <w:t>amended to extend the application period through May 31, 2017</w:t>
      </w:r>
      <w:r w:rsidR="00273DC9">
        <w:rPr>
          <w:rFonts w:cs="Arial"/>
        </w:rPr>
        <w:t xml:space="preserve">.  </w:t>
      </w:r>
      <w:r w:rsidRPr="00582FD7">
        <w:rPr>
          <w:rFonts w:cs="Arial"/>
        </w:rPr>
        <w:t>This NOFA applies to CDBG-eligible installation of water lateral connections to new or existing public water systems as part of the Housing Rehabilitation activity.</w:t>
      </w:r>
    </w:p>
    <w:p w14:paraId="280A86DD" w14:textId="77777777" w:rsidR="00D53273" w:rsidRPr="004905D3" w:rsidRDefault="00D53273" w:rsidP="00D53273">
      <w:pPr>
        <w:rPr>
          <w:b/>
          <w:u w:val="single"/>
        </w:rPr>
      </w:pPr>
      <w:r w:rsidRPr="004905D3">
        <w:rPr>
          <w:rFonts w:cs="Arial"/>
          <w:b/>
          <w:szCs w:val="26"/>
          <w:u w:val="single"/>
        </w:rPr>
        <w:t>Actions taken to enhance coordination between public and private housing and social service</w:t>
      </w:r>
    </w:p>
    <w:p w14:paraId="36E49318" w14:textId="77777777" w:rsidR="00D53273" w:rsidRPr="00D30FB2" w:rsidRDefault="00D53273" w:rsidP="00DB3E1E">
      <w:pPr>
        <w:widowControl w:val="0"/>
        <w:spacing w:before="100" w:beforeAutospacing="1" w:after="100" w:afterAutospacing="1"/>
      </w:pPr>
      <w:r w:rsidRPr="00DB3E1E">
        <w:rPr>
          <w:u w:val="single"/>
        </w:rPr>
        <w:t>STATE FUNDS</w:t>
      </w:r>
    </w:p>
    <w:p w14:paraId="79EBCC24" w14:textId="76BE6699" w:rsidR="00392CBB" w:rsidRDefault="00392CBB" w:rsidP="00DF3678">
      <w:pPr>
        <w:pStyle w:val="ListParagraph"/>
        <w:numPr>
          <w:ilvl w:val="0"/>
          <w:numId w:val="19"/>
        </w:numPr>
        <w:spacing w:before="100" w:beforeAutospacing="1" w:after="100" w:afterAutospacing="1"/>
      </w:pPr>
      <w:r w:rsidRPr="00392CBB">
        <w:rPr>
          <w:b/>
          <w:bCs/>
        </w:rPr>
        <w:t>Drought Housing Recovery Assistance (DRHA):</w:t>
      </w:r>
      <w:r>
        <w:t xml:space="preserve"> The purpose of the Drought Housing Recovery Assistance</w:t>
      </w:r>
      <w:r w:rsidR="003418FB">
        <w:t xml:space="preserve"> (DRHA) Program is the provide </w:t>
      </w:r>
      <w:r>
        <w:t xml:space="preserve">temporary assistance for personas moving from their current residence, which lacks reasonable access to potable water as a result from the current </w:t>
      </w:r>
      <w:r w:rsidRPr="00392CBB">
        <w:t xml:space="preserve">drought in California. </w:t>
      </w:r>
      <w:r w:rsidR="00B3547A">
        <w:t>The Department</w:t>
      </w:r>
      <w:r w:rsidR="00D206FE">
        <w:t xml:space="preserve"> was</w:t>
      </w:r>
      <w:r w:rsidR="00B3547A" w:rsidRPr="00392CBB">
        <w:t xml:space="preserve"> </w:t>
      </w:r>
      <w:r w:rsidRPr="00392CBB">
        <w:t xml:space="preserve">awarded </w:t>
      </w:r>
      <w:r w:rsidR="00B3547A" w:rsidRPr="007C7704">
        <w:rPr>
          <w:b/>
        </w:rPr>
        <w:t>$</w:t>
      </w:r>
      <w:r w:rsidRPr="007C7704">
        <w:rPr>
          <w:b/>
        </w:rPr>
        <w:t>6 million</w:t>
      </w:r>
      <w:r w:rsidRPr="00392CBB">
        <w:t xml:space="preserve"> </w:t>
      </w:r>
      <w:r w:rsidR="00D206FE">
        <w:t xml:space="preserve">by </w:t>
      </w:r>
      <w:r w:rsidR="00243D7F">
        <w:t xml:space="preserve">the State </w:t>
      </w:r>
      <w:r w:rsidRPr="00392CBB">
        <w:t xml:space="preserve">for DHRA.  Of that </w:t>
      </w:r>
      <w:r w:rsidR="00B3547A">
        <w:lastRenderedPageBreak/>
        <w:t>$</w:t>
      </w:r>
      <w:r w:rsidRPr="00D07D8D">
        <w:rPr>
          <w:b/>
        </w:rPr>
        <w:t>6 million</w:t>
      </w:r>
      <w:r w:rsidRPr="00392CBB">
        <w:t xml:space="preserve">, </w:t>
      </w:r>
      <w:r w:rsidR="00B3547A">
        <w:t>$</w:t>
      </w:r>
      <w:r w:rsidRPr="00D07D8D">
        <w:rPr>
          <w:b/>
        </w:rPr>
        <w:t>3.83 million</w:t>
      </w:r>
      <w:r w:rsidRPr="00392CBB">
        <w:t xml:space="preserve"> was </w:t>
      </w:r>
      <w:r w:rsidR="00243D7F">
        <w:t xml:space="preserve">set aside for </w:t>
      </w:r>
      <w:r w:rsidRPr="00392CBB">
        <w:t xml:space="preserve">direct assistance.  Of the </w:t>
      </w:r>
      <w:r w:rsidR="0073033E">
        <w:t>$</w:t>
      </w:r>
      <w:r w:rsidRPr="00D07D8D">
        <w:rPr>
          <w:b/>
        </w:rPr>
        <w:t>3.83 million</w:t>
      </w:r>
      <w:r w:rsidRPr="00392CBB">
        <w:t xml:space="preserve">, </w:t>
      </w:r>
      <w:r w:rsidR="0073033E">
        <w:t>$</w:t>
      </w:r>
      <w:r w:rsidRPr="00D07D8D">
        <w:rPr>
          <w:b/>
        </w:rPr>
        <w:t>1.7 million</w:t>
      </w:r>
      <w:r w:rsidRPr="00392CBB">
        <w:t xml:space="preserve"> has been awarded to five areas: Tulare, Yolo, Tuolumne, Kings</w:t>
      </w:r>
      <w:r>
        <w:t xml:space="preserve"> and Fresno Counties.</w:t>
      </w:r>
      <w:r w:rsidR="00D07D8D">
        <w:t xml:space="preserve">  The Department still has </w:t>
      </w:r>
      <w:r w:rsidR="00D07D8D">
        <w:rPr>
          <w:b/>
        </w:rPr>
        <w:t>$2</w:t>
      </w:r>
      <w:r w:rsidR="0073033E">
        <w:rPr>
          <w:b/>
        </w:rPr>
        <w:t>.</w:t>
      </w:r>
      <w:r w:rsidR="00D07D8D">
        <w:rPr>
          <w:b/>
        </w:rPr>
        <w:t>17</w:t>
      </w:r>
      <w:r w:rsidR="0073033E">
        <w:rPr>
          <w:b/>
        </w:rPr>
        <w:t xml:space="preserve"> million</w:t>
      </w:r>
      <w:r w:rsidR="00D07D8D">
        <w:rPr>
          <w:b/>
        </w:rPr>
        <w:t xml:space="preserve"> </w:t>
      </w:r>
      <w:r w:rsidR="00D07D8D">
        <w:t xml:space="preserve">in DHRA Assistance to award.  </w:t>
      </w:r>
    </w:p>
    <w:p w14:paraId="66038BC5" w14:textId="77777777" w:rsidR="00966A65" w:rsidRDefault="00966A65" w:rsidP="004905D3">
      <w:pPr>
        <w:spacing w:before="100" w:beforeAutospacing="1" w:after="100" w:afterAutospacing="1"/>
        <w:ind w:left="720"/>
      </w:pPr>
      <w:r w:rsidRPr="00EB4939">
        <w:rPr>
          <w:b/>
          <w:bCs/>
        </w:rPr>
        <w:t>CalHome Disaster</w:t>
      </w:r>
      <w:r w:rsidRPr="00EB4939">
        <w:t xml:space="preserve"> </w:t>
      </w:r>
      <w:r w:rsidRPr="006F171D">
        <w:rPr>
          <w:b/>
        </w:rPr>
        <w:t>NOFA</w:t>
      </w:r>
      <w:r w:rsidR="0073033E">
        <w:t>:</w:t>
      </w:r>
      <w:r w:rsidRPr="00EB4939">
        <w:t xml:space="preserve"> In September 2015 the Butte and Valley Wildfires destroyed more than </w:t>
      </w:r>
      <w:r w:rsidRPr="00D07D8D">
        <w:rPr>
          <w:b/>
        </w:rPr>
        <w:t>2,000 homes</w:t>
      </w:r>
      <w:r w:rsidRPr="00EB4939">
        <w:t xml:space="preserve"> and structures in Calaveras and Lake Counties.  In October 2015, state agencies </w:t>
      </w:r>
      <w:r w:rsidR="0063792B">
        <w:t xml:space="preserve">were directed </w:t>
      </w:r>
      <w:r w:rsidRPr="00EB4939">
        <w:t xml:space="preserve">to utilize and employ state personnel, equipment, and facilities for the performance of any and all activities to assist with recovery efforts.   In response to the Executive Order, </w:t>
      </w:r>
      <w:r w:rsidR="0063792B">
        <w:t>the Department</w:t>
      </w:r>
      <w:r w:rsidR="0063792B" w:rsidRPr="00EB4939">
        <w:t xml:space="preserve"> </w:t>
      </w:r>
      <w:r w:rsidR="004B7DF0">
        <w:t>made available</w:t>
      </w:r>
      <w:r w:rsidRPr="00EB4939">
        <w:t xml:space="preserve"> </w:t>
      </w:r>
      <w:r w:rsidR="0063792B">
        <w:t>$</w:t>
      </w:r>
      <w:r w:rsidRPr="00D07D8D">
        <w:rPr>
          <w:b/>
        </w:rPr>
        <w:t>7.2 million</w:t>
      </w:r>
      <w:r w:rsidRPr="00EB4939">
        <w:t xml:space="preserve"> for Calaveras and Lake </w:t>
      </w:r>
      <w:r w:rsidR="0063792B">
        <w:t xml:space="preserve">counties </w:t>
      </w:r>
      <w:r w:rsidRPr="00EB4939">
        <w:t xml:space="preserve">through </w:t>
      </w:r>
      <w:r w:rsidR="0063792B">
        <w:t xml:space="preserve">the </w:t>
      </w:r>
      <w:r w:rsidRPr="00EB4939">
        <w:t>CalHome program</w:t>
      </w:r>
      <w:r w:rsidR="004B7DF0">
        <w:t xml:space="preserve"> in August 26, 2016</w:t>
      </w:r>
      <w:r w:rsidRPr="00EB4939">
        <w:t xml:space="preserve">.  The </w:t>
      </w:r>
      <w:r w:rsidR="00AE2A1A">
        <w:t>allocation by county</w:t>
      </w:r>
      <w:r w:rsidR="00AE2A1A" w:rsidRPr="00EB4939">
        <w:t xml:space="preserve"> </w:t>
      </w:r>
      <w:r w:rsidRPr="00EB4939">
        <w:t xml:space="preserve">of the </w:t>
      </w:r>
      <w:r w:rsidR="0063792B">
        <w:t>$</w:t>
      </w:r>
      <w:r w:rsidRPr="00D07D8D">
        <w:rPr>
          <w:b/>
        </w:rPr>
        <w:t xml:space="preserve">7.2 million </w:t>
      </w:r>
      <w:r w:rsidR="00AE2A1A">
        <w:t>was</w:t>
      </w:r>
      <w:r w:rsidR="00AE2A1A" w:rsidRPr="00EB4939">
        <w:t xml:space="preserve"> </w:t>
      </w:r>
      <w:r w:rsidRPr="00EB4939">
        <w:t xml:space="preserve">based on the proportion of homes destroyed in each county: </w:t>
      </w:r>
      <w:r w:rsidRPr="00D07D8D">
        <w:rPr>
          <w:b/>
        </w:rPr>
        <w:t>27</w:t>
      </w:r>
      <w:r w:rsidR="0063792B">
        <w:rPr>
          <w:b/>
        </w:rPr>
        <w:t xml:space="preserve"> percent</w:t>
      </w:r>
      <w:r w:rsidRPr="00D07D8D">
        <w:rPr>
          <w:b/>
        </w:rPr>
        <w:t xml:space="preserve"> </w:t>
      </w:r>
      <w:r w:rsidR="00BB6378" w:rsidRPr="00D07D8D">
        <w:rPr>
          <w:b/>
        </w:rPr>
        <w:t>of homes</w:t>
      </w:r>
      <w:r w:rsidR="00BB6378" w:rsidRPr="00EB4939">
        <w:t xml:space="preserve"> in </w:t>
      </w:r>
      <w:r w:rsidRPr="00EB4939">
        <w:t>Calaveras</w:t>
      </w:r>
      <w:r w:rsidR="00BB6378" w:rsidRPr="00EB4939">
        <w:t xml:space="preserve"> County</w:t>
      </w:r>
      <w:r w:rsidRPr="00EB4939">
        <w:t xml:space="preserve"> </w:t>
      </w:r>
      <w:r w:rsidRPr="00D07D8D">
        <w:rPr>
          <w:b/>
        </w:rPr>
        <w:t>equals $1</w:t>
      </w:r>
      <w:r w:rsidR="0063792B">
        <w:rPr>
          <w:b/>
        </w:rPr>
        <w:t>.</w:t>
      </w:r>
      <w:r w:rsidRPr="00D07D8D">
        <w:rPr>
          <w:b/>
        </w:rPr>
        <w:t>95</w:t>
      </w:r>
      <w:r w:rsidR="0063792B">
        <w:rPr>
          <w:b/>
        </w:rPr>
        <w:t xml:space="preserve"> million</w:t>
      </w:r>
      <w:r w:rsidRPr="00EB4939">
        <w:t>; and</w:t>
      </w:r>
      <w:r w:rsidR="00BB6378" w:rsidRPr="00EB4939">
        <w:t xml:space="preserve"> </w:t>
      </w:r>
      <w:r w:rsidR="00BB6378" w:rsidRPr="00D07D8D">
        <w:rPr>
          <w:b/>
        </w:rPr>
        <w:t>73</w:t>
      </w:r>
      <w:r w:rsidR="0063792B">
        <w:rPr>
          <w:b/>
        </w:rPr>
        <w:t xml:space="preserve"> percent</w:t>
      </w:r>
      <w:r w:rsidR="00BB6378" w:rsidRPr="00D07D8D">
        <w:rPr>
          <w:b/>
        </w:rPr>
        <w:t xml:space="preserve"> of homes</w:t>
      </w:r>
      <w:r w:rsidR="00BB6378" w:rsidRPr="00EB4939">
        <w:t xml:space="preserve"> in Lake County </w:t>
      </w:r>
      <w:r w:rsidR="00F54925" w:rsidRPr="00D07D8D">
        <w:rPr>
          <w:b/>
        </w:rPr>
        <w:t>equals</w:t>
      </w:r>
      <w:r w:rsidRPr="00D07D8D">
        <w:rPr>
          <w:b/>
        </w:rPr>
        <w:t xml:space="preserve"> $5</w:t>
      </w:r>
      <w:r w:rsidR="0063792B">
        <w:rPr>
          <w:b/>
        </w:rPr>
        <w:t>.</w:t>
      </w:r>
      <w:r w:rsidRPr="00D07D8D">
        <w:rPr>
          <w:b/>
        </w:rPr>
        <w:t>25</w:t>
      </w:r>
      <w:r w:rsidR="0063792B">
        <w:rPr>
          <w:b/>
        </w:rPr>
        <w:t xml:space="preserve"> million</w:t>
      </w:r>
      <w:r w:rsidRPr="00EB4939">
        <w:t>.  This program provides both mortgage assistance for first time homebuyers as well as rehabilitation fund</w:t>
      </w:r>
      <w:r w:rsidR="0063792B">
        <w:t>s</w:t>
      </w:r>
      <w:r w:rsidRPr="00EB4939">
        <w:t xml:space="preserve">.  </w:t>
      </w:r>
    </w:p>
    <w:p w14:paraId="061F754D" w14:textId="66D9EEB5" w:rsidR="003418FB" w:rsidRPr="003418FB" w:rsidRDefault="00D53273" w:rsidP="003418FB">
      <w:pPr>
        <w:widowControl w:val="0"/>
        <w:spacing w:before="100" w:beforeAutospacing="1" w:after="100" w:afterAutospacing="1"/>
        <w:ind w:left="720"/>
        <w:rPr>
          <w:color w:val="3333FF"/>
        </w:rPr>
      </w:pPr>
      <w:r w:rsidRPr="00D30FB2">
        <w:rPr>
          <w:b/>
        </w:rPr>
        <w:t>Veterans Housing Bond:</w:t>
      </w:r>
      <w:r w:rsidRPr="00D30FB2">
        <w:t xml:space="preserve"> </w:t>
      </w:r>
      <w:r w:rsidR="003D517D" w:rsidRPr="00D30FB2">
        <w:t>The Veterans</w:t>
      </w:r>
      <w:r w:rsidRPr="00D30FB2">
        <w:t xml:space="preserve"> Housing and Homelessness </w:t>
      </w:r>
      <w:r w:rsidR="003D517D" w:rsidRPr="00D30FB2">
        <w:t>Prevention Program (</w:t>
      </w:r>
      <w:r w:rsidRPr="00D30FB2">
        <w:t xml:space="preserve">VHHP) incentivizes developers to partner with Local Continuums of Care, the federal Veterans Administration, and others in developing "low-barrier" housing practices that target supportive housing developed with these funds to Veterans most in need who are least likely to access and maintain housing on their own.  To date </w:t>
      </w:r>
      <w:r w:rsidRPr="00F54925">
        <w:t>$</w:t>
      </w:r>
      <w:r w:rsidR="00F54925">
        <w:t>252,227,478</w:t>
      </w:r>
      <w:r w:rsidR="00864699">
        <w:t xml:space="preserve"> </w:t>
      </w:r>
      <w:r w:rsidRPr="00D30FB2">
        <w:t xml:space="preserve">in VHHP funds have been awarded. </w:t>
      </w:r>
      <w:r w:rsidRPr="003418FB">
        <w:t xml:space="preserve">See the </w:t>
      </w:r>
      <w:hyperlink r:id="rId30" w:history="1">
        <w:r w:rsidR="003418FB" w:rsidRPr="003418FB">
          <w:rPr>
            <w:rStyle w:val="Hyperlink"/>
            <w:color w:val="3333FF"/>
          </w:rPr>
          <w:t>http://www.hcd.ca.gov/grants-funding/active-funding/vhhp/docs/VHHP-Award-Data-Summary.pdf</w:t>
        </w:r>
      </w:hyperlink>
    </w:p>
    <w:p w14:paraId="3043FEF8" w14:textId="65AB927E" w:rsidR="005738BA" w:rsidRPr="0063570A" w:rsidRDefault="00D53273" w:rsidP="003418FB">
      <w:pPr>
        <w:widowControl w:val="0"/>
        <w:spacing w:before="100" w:beforeAutospacing="1" w:after="100" w:afterAutospacing="1"/>
        <w:ind w:left="720"/>
        <w:rPr>
          <w:rFonts w:eastAsia="Garamond"/>
          <w:color w:val="0000FF"/>
        </w:rPr>
      </w:pPr>
      <w:r w:rsidRPr="005738BA">
        <w:rPr>
          <w:b/>
        </w:rPr>
        <w:t>Affordable Housing and Sustainable Communities Program (AHSC):</w:t>
      </w:r>
      <w:r w:rsidRPr="00D30FB2">
        <w:t xml:space="preserve"> </w:t>
      </w:r>
      <w:r w:rsidR="005738BA">
        <w:rPr>
          <w:rFonts w:eastAsia="Garamond"/>
        </w:rPr>
        <w:t xml:space="preserve"> Administered by the Strategic Growth Council and implemented by the Department, the AHSC Program funds housing and low-carbon transit projects to support infill and compact development that reduce Greenhouse Gas (GHG) emissions.  Funding for the AHSC Program is provided from the Greenhouse Gas Reduction Fund (GGRF), an account established to receive Cap-and-Trade auction proceeds.  To date, over </w:t>
      </w:r>
      <w:r w:rsidR="003418FB">
        <w:rPr>
          <w:rFonts w:eastAsia="Garamond"/>
        </w:rPr>
        <w:t>half billion dollars</w:t>
      </w:r>
      <w:r w:rsidR="005738BA">
        <w:rPr>
          <w:rFonts w:eastAsia="Garamond"/>
        </w:rPr>
        <w:t xml:space="preserve"> in AHSC funds have been awarded.  </w:t>
      </w:r>
      <w:r w:rsidR="005738BA" w:rsidRPr="0063570A">
        <w:rPr>
          <w:rFonts w:eastAsia="Garamond"/>
          <w:color w:val="0000FF"/>
        </w:rPr>
        <w:t xml:space="preserve">See </w:t>
      </w:r>
      <w:hyperlink r:id="rId31" w:history="1">
        <w:r w:rsidR="0063570A" w:rsidRPr="0063570A">
          <w:rPr>
            <w:rStyle w:val="Hyperlink"/>
            <w:rFonts w:eastAsia="Garamond"/>
            <w:color w:val="0000FF"/>
          </w:rPr>
          <w:t>http://www.hcd.ca.gov/grants-funding/active-funding/ahsc.shtml</w:t>
        </w:r>
      </w:hyperlink>
    </w:p>
    <w:p w14:paraId="3B994849" w14:textId="77777777" w:rsidR="00D53273" w:rsidRPr="00F64F77" w:rsidRDefault="00D53273" w:rsidP="00F64F77">
      <w:pPr>
        <w:widowControl w:val="0"/>
        <w:spacing w:before="100" w:beforeAutospacing="1" w:after="100" w:afterAutospacing="1"/>
        <w:rPr>
          <w:b/>
          <w:color w:val="0000FF"/>
          <w:szCs w:val="24"/>
          <w:u w:val="single"/>
        </w:rPr>
      </w:pPr>
      <w:r w:rsidRPr="00F64F77">
        <w:rPr>
          <w:b/>
          <w:szCs w:val="24"/>
          <w:u w:val="single"/>
        </w:rPr>
        <w:t>Identify actions taken to overcome the effects of any impediments identified in the jurisdictions analysis of imped</w:t>
      </w:r>
      <w:r w:rsidR="0063570A" w:rsidRPr="00F64F77">
        <w:rPr>
          <w:b/>
          <w:szCs w:val="24"/>
          <w:u w:val="single"/>
        </w:rPr>
        <w:t xml:space="preserve">iments to fair housing choice. </w:t>
      </w:r>
      <w:hyperlink r:id="rId32" w:history="1">
        <w:r w:rsidR="0063570A" w:rsidRPr="003E6342">
          <w:rPr>
            <w:rStyle w:val="Hyperlink"/>
            <w:color w:val="0000FF"/>
            <w:szCs w:val="24"/>
          </w:rPr>
          <w:t xml:space="preserve">24 CFR </w:t>
        </w:r>
        <w:r w:rsidRPr="003E6342">
          <w:rPr>
            <w:rStyle w:val="Hyperlink"/>
            <w:color w:val="0000FF"/>
            <w:szCs w:val="24"/>
          </w:rPr>
          <w:t>91.520(a</w:t>
        </w:r>
      </w:hyperlink>
      <w:r w:rsidRPr="003E6342">
        <w:rPr>
          <w:color w:val="0000FF"/>
          <w:szCs w:val="24"/>
          <w:u w:val="single"/>
        </w:rPr>
        <w:t>)</w:t>
      </w:r>
    </w:p>
    <w:p w14:paraId="0276EA58" w14:textId="61C88513" w:rsidR="00B03984" w:rsidRDefault="00864699" w:rsidP="00B03984">
      <w:pPr>
        <w:keepNext/>
        <w:widowControl w:val="0"/>
        <w:spacing w:before="100" w:beforeAutospacing="1" w:after="100" w:afterAutospacing="1"/>
        <w:ind w:left="360"/>
        <w:rPr>
          <w:rFonts w:cs="Arial"/>
        </w:rPr>
      </w:pPr>
      <w:r>
        <w:rPr>
          <w:rFonts w:cs="Arial"/>
        </w:rPr>
        <w:t>The Department</w:t>
      </w:r>
      <w:r w:rsidR="00D53273" w:rsidRPr="003D517D">
        <w:rPr>
          <w:rFonts w:cs="Arial"/>
        </w:rPr>
        <w:t xml:space="preserve"> continues to take actions to overcome identified impediments to fair housing pursuant to our Analysis of Impediments </w:t>
      </w:r>
      <w:r w:rsidRPr="003D517D">
        <w:rPr>
          <w:rFonts w:cs="Arial"/>
        </w:rPr>
        <w:t xml:space="preserve">(AI) </w:t>
      </w:r>
      <w:r w:rsidR="00D53273" w:rsidRPr="003D517D">
        <w:rPr>
          <w:rFonts w:cs="Arial"/>
        </w:rPr>
        <w:t xml:space="preserve">to Fair Housing completed in 2012. </w:t>
      </w:r>
      <w:r w:rsidR="0067259C">
        <w:rPr>
          <w:rFonts w:cs="Arial"/>
        </w:rPr>
        <w:t xml:space="preserve"> </w:t>
      </w:r>
      <w:r w:rsidR="00B03984" w:rsidRPr="00630463">
        <w:rPr>
          <w:rFonts w:cs="Arial"/>
        </w:rPr>
        <w:t xml:space="preserve">In 2016 – 2017, the Department focused on the training and educational objectives set in the AI.  From February of 2016 through January of 2017, 15 Departmental staff members took part in the Governmental Alliance on Race and Equity (GARE) cohort with multiple other California State Departments, cities and counties throughout Northern California.  Cohort members spent a year learning about the history of racial disparities, segregation and lack of access to opportunity for minority groups.  GARE cohort members developed community action plans to address disparities both </w:t>
      </w:r>
      <w:r w:rsidR="00B03984" w:rsidRPr="00630463">
        <w:rPr>
          <w:rFonts w:cs="Arial"/>
        </w:rPr>
        <w:lastRenderedPageBreak/>
        <w:t>within their governmental workplaces as well as the community’s their government agencies serves.   In addition</w:t>
      </w:r>
      <w:r w:rsidR="004B7DF0">
        <w:rPr>
          <w:rFonts w:cs="Arial"/>
        </w:rPr>
        <w:t>,</w:t>
      </w:r>
      <w:r w:rsidR="00B03984">
        <w:rPr>
          <w:rFonts w:cs="Arial"/>
        </w:rPr>
        <w:t xml:space="preserve"> approximately</w:t>
      </w:r>
      <w:r w:rsidR="00B03984" w:rsidRPr="00630463">
        <w:rPr>
          <w:rFonts w:cs="Arial"/>
        </w:rPr>
        <w:t xml:space="preserve"> </w:t>
      </w:r>
      <w:r w:rsidR="00B03984">
        <w:rPr>
          <w:rFonts w:cs="Arial"/>
        </w:rPr>
        <w:t>t</w:t>
      </w:r>
      <w:r w:rsidR="00B03984" w:rsidRPr="00630463">
        <w:rPr>
          <w:rFonts w:cs="Arial"/>
        </w:rPr>
        <w:t>wenty Department</w:t>
      </w:r>
      <w:r w:rsidR="00B03984">
        <w:rPr>
          <w:rFonts w:cs="Arial"/>
        </w:rPr>
        <w:t>al</w:t>
      </w:r>
      <w:r w:rsidR="00B03984" w:rsidRPr="00630463">
        <w:rPr>
          <w:rFonts w:cs="Arial"/>
        </w:rPr>
        <w:t xml:space="preserve"> staff members took part in a </w:t>
      </w:r>
      <w:r w:rsidR="003418FB" w:rsidRPr="00630463">
        <w:rPr>
          <w:rFonts w:cs="Arial"/>
        </w:rPr>
        <w:t>six-month</w:t>
      </w:r>
      <w:r w:rsidR="00B03984" w:rsidRPr="00630463">
        <w:rPr>
          <w:rFonts w:cs="Arial"/>
        </w:rPr>
        <w:t xml:space="preserve"> training with the University of California at Davis (UCD) Center for Regional Change (CRC) on fair housing.  Participants studied the history of fair housing both nationally and within the State of California</w:t>
      </w:r>
      <w:r w:rsidR="00B03984">
        <w:rPr>
          <w:rFonts w:cs="Arial"/>
        </w:rPr>
        <w:t>; received an</w:t>
      </w:r>
      <w:r w:rsidR="00B03984" w:rsidRPr="00630463">
        <w:rPr>
          <w:rFonts w:cs="Arial"/>
        </w:rPr>
        <w:t xml:space="preserve"> academic overview of the AFFH final rule and correlating data tools</w:t>
      </w:r>
      <w:r w:rsidR="00B03984">
        <w:rPr>
          <w:rFonts w:cs="Arial"/>
        </w:rPr>
        <w:t xml:space="preserve">; and studied the various barriers to fair housing e.g. race, disability, age and culture, just to name a few.  </w:t>
      </w:r>
      <w:r w:rsidR="00B03984" w:rsidRPr="00630463">
        <w:rPr>
          <w:rFonts w:cs="Arial"/>
        </w:rPr>
        <w:t xml:space="preserve">By the end of the training participants had researched and developed specific project proposals for addressing barriers to fair housing throughout state and in the programs the Department administers.  </w:t>
      </w:r>
    </w:p>
    <w:p w14:paraId="2708F2EF" w14:textId="7DED50C0" w:rsidR="00864699" w:rsidRPr="006E0477" w:rsidRDefault="00B03984" w:rsidP="006E0477">
      <w:pPr>
        <w:keepNext/>
        <w:widowControl w:val="0"/>
        <w:spacing w:before="100" w:beforeAutospacing="1" w:after="100" w:afterAutospacing="1"/>
        <w:ind w:left="360"/>
        <w:rPr>
          <w:rFonts w:cs="Arial"/>
        </w:rPr>
      </w:pPr>
      <w:r>
        <w:rPr>
          <w:rFonts w:cs="Arial"/>
          <w:szCs w:val="24"/>
        </w:rPr>
        <w:t xml:space="preserve">The </w:t>
      </w:r>
      <w:r w:rsidRPr="00630463">
        <w:rPr>
          <w:rFonts w:cs="Arial"/>
          <w:szCs w:val="24"/>
        </w:rPr>
        <w:t xml:space="preserve">Department has </w:t>
      </w:r>
      <w:r>
        <w:rPr>
          <w:rFonts w:cs="Arial"/>
          <w:szCs w:val="24"/>
        </w:rPr>
        <w:t xml:space="preserve">also </w:t>
      </w:r>
      <w:r w:rsidRPr="00630463">
        <w:rPr>
          <w:rFonts w:cs="Arial"/>
          <w:szCs w:val="24"/>
        </w:rPr>
        <w:t>been working with the California Tax Credit Allocation Committee (TCAC) and the California Housing Finance Agency (CalHFA), multiple academic institutions and fair housing advocates, on developing methodology and tool for evaluating Access to Opportunity locations with a mapping tool.  The objective is to support housing policies, program guidelines and regulations among all three State housing agencies that promote availability of affordable family housing with improved access to opportunity locations.</w:t>
      </w:r>
      <w:r>
        <w:rPr>
          <w:rFonts w:cs="Arial"/>
        </w:rPr>
        <w:t xml:space="preserve">  For further </w:t>
      </w:r>
      <w:r w:rsidR="006E0477">
        <w:rPr>
          <w:rFonts w:cs="Arial"/>
        </w:rPr>
        <w:t>information on the progress the state is making on the AI please s</w:t>
      </w:r>
      <w:r w:rsidR="00D53273" w:rsidRPr="003D517D">
        <w:rPr>
          <w:rFonts w:cs="Arial"/>
        </w:rPr>
        <w:t>ee the AI Implementation Status Report in the attachments to the CAPER, located at</w:t>
      </w:r>
      <w:r w:rsidR="0063570A">
        <w:rPr>
          <w:rFonts w:cs="Arial"/>
          <w:color w:val="0000FF"/>
        </w:rPr>
        <w:t xml:space="preserve">: </w:t>
      </w:r>
      <w:hyperlink r:id="rId33" w:history="1">
        <w:r w:rsidR="0063570A" w:rsidRPr="0063570A">
          <w:rPr>
            <w:rStyle w:val="Hyperlink"/>
            <w:rFonts w:cs="Arial"/>
            <w:color w:val="0000FF"/>
          </w:rPr>
          <w:t>http://www.hcd.ca.gov/policy-research/plans-reports/docs/state_of_ca_analysis_of_impediments_full%20report0912.pdf</w:t>
        </w:r>
      </w:hyperlink>
    </w:p>
    <w:p w14:paraId="1D5C80D0" w14:textId="77777777" w:rsidR="00757E30" w:rsidRDefault="00D53273" w:rsidP="002E4D24">
      <w:pPr>
        <w:ind w:left="720"/>
        <w:rPr>
          <w:rFonts w:cs="Arial"/>
          <w:szCs w:val="24"/>
        </w:rPr>
      </w:pPr>
      <w:r>
        <w:rPr>
          <w:rFonts w:cs="Arial"/>
          <w:szCs w:val="24"/>
        </w:rPr>
        <w:br w:type="page"/>
      </w:r>
    </w:p>
    <w:p w14:paraId="00C668B5" w14:textId="77777777" w:rsidR="00757E30" w:rsidRPr="00936F6D" w:rsidRDefault="00757E30" w:rsidP="00757E30">
      <w:pPr>
        <w:jc w:val="center"/>
        <w:rPr>
          <w:rFonts w:cs="Arial"/>
          <w:color w:val="335375" w:themeColor="accent3" w:themeShade="BF"/>
          <w:sz w:val="28"/>
          <w:szCs w:val="24"/>
          <w:u w:val="single"/>
        </w:rPr>
      </w:pPr>
      <w:r w:rsidRPr="000437F5">
        <w:rPr>
          <w:rFonts w:cs="Arial"/>
          <w:b/>
          <w:bCs/>
          <w:color w:val="335375" w:themeColor="accent3" w:themeShade="BF"/>
          <w:sz w:val="28"/>
          <w:szCs w:val="24"/>
          <w:u w:val="single"/>
        </w:rPr>
        <w:lastRenderedPageBreak/>
        <w:t>CR-40 Monitoring</w:t>
      </w:r>
    </w:p>
    <w:p w14:paraId="56ABA39F" w14:textId="77777777" w:rsidR="00D53273" w:rsidRPr="00F64F77" w:rsidRDefault="00757E30" w:rsidP="00F64F77">
      <w:pPr>
        <w:rPr>
          <w:rFonts w:cs="Arial"/>
          <w:i/>
          <w:color w:val="87A9CB" w:themeColor="accent3" w:themeTint="99"/>
          <w:sz w:val="22"/>
          <w:szCs w:val="24"/>
        </w:rPr>
      </w:pPr>
      <w:r w:rsidRPr="00936F6D">
        <w:rPr>
          <w:rFonts w:cs="Arial"/>
          <w:i/>
          <w:color w:val="87A9CB" w:themeColor="accent3" w:themeTint="99"/>
          <w:sz w:val="22"/>
          <w:szCs w:val="24"/>
        </w:rPr>
        <w:t>Regulation Citation(s)</w:t>
      </w:r>
      <w:r w:rsidR="003D517D">
        <w:rPr>
          <w:rFonts w:cs="Arial"/>
          <w:i/>
          <w:color w:val="87A9CB" w:themeColor="accent3" w:themeTint="99"/>
          <w:sz w:val="22"/>
          <w:szCs w:val="24"/>
        </w:rPr>
        <w:t>: 24 CFR 91.230, 91.330, 91.430</w:t>
      </w:r>
    </w:p>
    <w:p w14:paraId="11B0E9A0" w14:textId="77777777" w:rsidR="00D53273" w:rsidRPr="00F64F77" w:rsidRDefault="00D53273" w:rsidP="00D53273">
      <w:pPr>
        <w:widowControl w:val="0"/>
        <w:rPr>
          <w:b/>
          <w:szCs w:val="24"/>
          <w:u w:val="single"/>
        </w:rPr>
      </w:pPr>
      <w:r w:rsidRPr="00F64F77">
        <w:rPr>
          <w:b/>
          <w:szCs w:val="24"/>
          <w:u w:val="single"/>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14:paraId="4AFF5C6A" w14:textId="77777777" w:rsidR="00B77170" w:rsidRDefault="00D53273" w:rsidP="000437F5">
      <w:pPr>
        <w:widowControl w:val="0"/>
        <w:spacing w:before="100" w:beforeAutospacing="1" w:after="100" w:afterAutospacing="1"/>
        <w:rPr>
          <w:rFonts w:cs="Arial"/>
        </w:rPr>
      </w:pPr>
      <w:r w:rsidRPr="002E4D24">
        <w:rPr>
          <w:rFonts w:cs="Arial"/>
          <w:b/>
        </w:rPr>
        <w:t>CDBG</w:t>
      </w:r>
      <w:r w:rsidR="00083531">
        <w:rPr>
          <w:rFonts w:cs="Arial"/>
          <w:b/>
        </w:rPr>
        <w:t xml:space="preserve">:  </w:t>
      </w:r>
      <w:r w:rsidR="00083531">
        <w:rPr>
          <w:rFonts w:cs="Arial"/>
        </w:rPr>
        <w:t xml:space="preserve">Due to the geographic size of the </w:t>
      </w:r>
      <w:r w:rsidR="00B77170">
        <w:rPr>
          <w:rFonts w:cs="Arial"/>
        </w:rPr>
        <w:t>s</w:t>
      </w:r>
      <w:r w:rsidR="00083531">
        <w:rPr>
          <w:rFonts w:cs="Arial"/>
        </w:rPr>
        <w:t>tate, which stretches for almost 1,000 miles and the number of grants</w:t>
      </w:r>
      <w:r w:rsidR="005130D3">
        <w:rPr>
          <w:rFonts w:cs="Arial"/>
        </w:rPr>
        <w:t xml:space="preserve"> that are</w:t>
      </w:r>
      <w:r w:rsidR="00083531">
        <w:rPr>
          <w:rFonts w:cs="Arial"/>
        </w:rPr>
        <w:t xml:space="preserve"> in some of the most remote, rural, and isolated areas, the Department is not able to physically visit every </w:t>
      </w:r>
      <w:r w:rsidR="005130D3">
        <w:rPr>
          <w:rFonts w:cs="Arial"/>
        </w:rPr>
        <w:t xml:space="preserve">Community Development Block Grant (CDBG) </w:t>
      </w:r>
      <w:r w:rsidR="00083531">
        <w:rPr>
          <w:rFonts w:cs="Arial"/>
        </w:rPr>
        <w:t xml:space="preserve">grantee.  </w:t>
      </w:r>
      <w:r w:rsidR="00B77170">
        <w:rPr>
          <w:rFonts w:cs="Arial"/>
        </w:rPr>
        <w:t xml:space="preserve">In addition, the state is hampered in the ability to conduct on-site monitoring by the ongoing decline in both federal and state resources for program administration.  </w:t>
      </w:r>
      <w:r w:rsidR="00EB3DB0">
        <w:rPr>
          <w:rFonts w:cs="Arial"/>
        </w:rPr>
        <w:t xml:space="preserve">Due to these </w:t>
      </w:r>
      <w:r w:rsidR="005130D3">
        <w:rPr>
          <w:rFonts w:cs="Arial"/>
        </w:rPr>
        <w:t>factors,</w:t>
      </w:r>
      <w:r w:rsidR="00EB3DB0">
        <w:rPr>
          <w:rFonts w:cs="Arial"/>
        </w:rPr>
        <w:t xml:space="preserve"> the Department has requested </w:t>
      </w:r>
      <w:r w:rsidR="005130D3">
        <w:rPr>
          <w:rFonts w:cs="Arial"/>
        </w:rPr>
        <w:t xml:space="preserve">and </w:t>
      </w:r>
      <w:r w:rsidR="00EB3DB0">
        <w:rPr>
          <w:rFonts w:cs="Arial"/>
        </w:rPr>
        <w:t xml:space="preserve">is now receiving technical assistance </w:t>
      </w:r>
      <w:r w:rsidR="005130D3">
        <w:rPr>
          <w:rFonts w:cs="Arial"/>
        </w:rPr>
        <w:t>from</w:t>
      </w:r>
      <w:r w:rsidR="00EB3DB0">
        <w:rPr>
          <w:rFonts w:cs="Arial"/>
        </w:rPr>
        <w:t xml:space="preserve"> the U</w:t>
      </w:r>
      <w:r w:rsidR="00A423FF">
        <w:rPr>
          <w:rFonts w:cs="Arial"/>
        </w:rPr>
        <w:t>.</w:t>
      </w:r>
      <w:r w:rsidR="00EB3DB0">
        <w:rPr>
          <w:rFonts w:cs="Arial"/>
        </w:rPr>
        <w:t>S</w:t>
      </w:r>
      <w:r w:rsidR="00A423FF">
        <w:rPr>
          <w:rFonts w:cs="Arial"/>
        </w:rPr>
        <w:t>.</w:t>
      </w:r>
      <w:r w:rsidR="00EB3DB0">
        <w:rPr>
          <w:rFonts w:cs="Arial"/>
        </w:rPr>
        <w:t xml:space="preserve"> Department of Housing and Urban Development (HUD) </w:t>
      </w:r>
      <w:r w:rsidR="005130D3">
        <w:rPr>
          <w:rFonts w:cs="Arial"/>
        </w:rPr>
        <w:t>for its administration of the CDBG program.  Furthermore, the Department is currently working side-by-side</w:t>
      </w:r>
      <w:r w:rsidR="00EB3DB0">
        <w:rPr>
          <w:rFonts w:cs="Arial"/>
        </w:rPr>
        <w:t xml:space="preserve"> with stakeho</w:t>
      </w:r>
      <w:r w:rsidR="005130D3">
        <w:rPr>
          <w:rFonts w:cs="Arial"/>
        </w:rPr>
        <w:t xml:space="preserve">lders on redesigning the CDBG program to be more effective and efficient for the grantees the Department serves.   </w:t>
      </w:r>
    </w:p>
    <w:p w14:paraId="41893EAD" w14:textId="77777777" w:rsidR="00D53273" w:rsidRPr="003D517D" w:rsidRDefault="00B77170" w:rsidP="000437F5">
      <w:pPr>
        <w:widowControl w:val="0"/>
        <w:spacing w:before="100" w:beforeAutospacing="1" w:after="100" w:afterAutospacing="1"/>
        <w:rPr>
          <w:rFonts w:cs="Arial"/>
        </w:rPr>
      </w:pPr>
      <w:r>
        <w:rPr>
          <w:rFonts w:cs="Arial"/>
        </w:rPr>
        <w:t xml:space="preserve">In lieu of activity monitoring every contract, the Department </w:t>
      </w:r>
      <w:r w:rsidR="005130D3">
        <w:rPr>
          <w:rFonts w:cs="Arial"/>
        </w:rPr>
        <w:t xml:space="preserve">is currently developing </w:t>
      </w:r>
      <w:r>
        <w:rPr>
          <w:rFonts w:cs="Arial"/>
        </w:rPr>
        <w:t>a risk assessment process.  This risk assessment process could evaluate the following criteria: (1) whether a grantee is new or seldom receives CDBG grant; (2) whether the grantee is a low performer in achieving required approvals; (3) whether documents submitted by the grantee are incorrect and show lack of understanding of program</w:t>
      </w:r>
      <w:r w:rsidR="005130D3">
        <w:rPr>
          <w:rFonts w:cs="Arial"/>
        </w:rPr>
        <w:t xml:space="preserve"> regulations and</w:t>
      </w:r>
      <w:r>
        <w:rPr>
          <w:rFonts w:cs="Arial"/>
        </w:rPr>
        <w:t xml:space="preserve"> requirements; (4) whether the grantee has had </w:t>
      </w:r>
      <w:r w:rsidR="005130D3">
        <w:rPr>
          <w:rFonts w:cs="Arial"/>
        </w:rPr>
        <w:t xml:space="preserve">any </w:t>
      </w:r>
      <w:r>
        <w:rPr>
          <w:rFonts w:cs="Arial"/>
        </w:rPr>
        <w:t xml:space="preserve">previous findings.  This risk assessment process would be used to determine which grantees should be monitored on-site, and which grantees would receive a remote monitoring.  </w:t>
      </w:r>
      <w:r w:rsidR="005130D3">
        <w:rPr>
          <w:rFonts w:cs="Arial"/>
        </w:rPr>
        <w:t>Additi</w:t>
      </w:r>
      <w:r w:rsidR="00A423FF">
        <w:rPr>
          <w:rFonts w:cs="Arial"/>
        </w:rPr>
        <w:t>o</w:t>
      </w:r>
      <w:r w:rsidR="005130D3">
        <w:rPr>
          <w:rFonts w:cs="Arial"/>
        </w:rPr>
        <w:t>nally,</w:t>
      </w:r>
      <w:r>
        <w:rPr>
          <w:rFonts w:cs="Arial"/>
        </w:rPr>
        <w:t xml:space="preserve"> the Department would periodically sample invoices and use the results of the </w:t>
      </w:r>
      <w:r w:rsidR="005130D3">
        <w:rPr>
          <w:rFonts w:cs="Arial"/>
        </w:rPr>
        <w:t xml:space="preserve">sample </w:t>
      </w:r>
      <w:r>
        <w:rPr>
          <w:rFonts w:cs="Arial"/>
        </w:rPr>
        <w:t xml:space="preserve">invoice reviews in the risk assessment process to determine the monitoring list. </w:t>
      </w:r>
      <w:r w:rsidR="00D53273" w:rsidRPr="003D517D">
        <w:rPr>
          <w:rFonts w:cs="Arial"/>
        </w:rPr>
        <w:t> </w:t>
      </w:r>
    </w:p>
    <w:p w14:paraId="49364977" w14:textId="77777777" w:rsidR="00525BE0" w:rsidRPr="0024378B" w:rsidRDefault="00D53273" w:rsidP="00525BE0">
      <w:pPr>
        <w:widowControl w:val="0"/>
        <w:spacing w:before="100" w:beforeAutospacing="1" w:after="100" w:afterAutospacing="1"/>
        <w:rPr>
          <w:rFonts w:cs="Arial"/>
        </w:rPr>
      </w:pPr>
      <w:r w:rsidRPr="002E4D24">
        <w:rPr>
          <w:rFonts w:cs="Arial"/>
          <w:b/>
        </w:rPr>
        <w:t>HOME</w:t>
      </w:r>
      <w:r w:rsidRPr="0024378B">
        <w:rPr>
          <w:rFonts w:cs="Arial"/>
        </w:rPr>
        <w:t>: HOME does four primary types of monito</w:t>
      </w:r>
      <w:r w:rsidR="00525BE0" w:rsidRPr="0024378B">
        <w:rPr>
          <w:rFonts w:cs="Arial"/>
        </w:rPr>
        <w:t>ring for its funded activities:</w:t>
      </w:r>
    </w:p>
    <w:p w14:paraId="42AD332C" w14:textId="77777777" w:rsidR="00525BE0" w:rsidRPr="0024378B" w:rsidRDefault="00D53273" w:rsidP="00273094">
      <w:pPr>
        <w:widowControl w:val="0"/>
        <w:spacing w:before="100" w:beforeAutospacing="1" w:after="100" w:afterAutospacing="1"/>
        <w:ind w:left="720"/>
        <w:rPr>
          <w:rFonts w:cs="Arial"/>
        </w:rPr>
      </w:pPr>
      <w:r w:rsidRPr="0024378B">
        <w:rPr>
          <w:rFonts w:cs="Arial"/>
          <w:b/>
        </w:rPr>
        <w:t xml:space="preserve">(1) Close-out monitoring </w:t>
      </w:r>
      <w:r w:rsidRPr="0024378B">
        <w:rPr>
          <w:rFonts w:cs="Arial"/>
        </w:rPr>
        <w:t>is done for all-funded activities to assess overall compliance with the requirements of the HOME Regulations and Standard Agreement.</w:t>
      </w:r>
      <w:r w:rsidR="00273094">
        <w:rPr>
          <w:rFonts w:cs="Arial"/>
        </w:rPr>
        <w:t xml:space="preserve"> </w:t>
      </w:r>
      <w:r w:rsidR="003715E0" w:rsidRPr="0024378B">
        <w:rPr>
          <w:rFonts w:cs="Arial"/>
        </w:rPr>
        <w:t xml:space="preserve"> In FY 2016-17, the Department completed six A-133 single audit findings for Program</w:t>
      </w:r>
      <w:r w:rsidR="00F97EB5">
        <w:rPr>
          <w:rFonts w:cs="Arial"/>
        </w:rPr>
        <w:t>s</w:t>
      </w:r>
      <w:r w:rsidR="003715E0" w:rsidRPr="0024378B">
        <w:rPr>
          <w:rFonts w:cs="Arial"/>
        </w:rPr>
        <w:t xml:space="preserve">.  In </w:t>
      </w:r>
      <w:r w:rsidR="00F97EB5" w:rsidRPr="0024378B">
        <w:rPr>
          <w:rFonts w:cs="Arial"/>
        </w:rPr>
        <w:t>July</w:t>
      </w:r>
      <w:r w:rsidR="00DC6A84">
        <w:rPr>
          <w:rFonts w:cs="Arial"/>
        </w:rPr>
        <w:t xml:space="preserve"> 2016</w:t>
      </w:r>
      <w:r w:rsidR="00F97EB5" w:rsidRPr="0024378B">
        <w:rPr>
          <w:rFonts w:cs="Arial"/>
        </w:rPr>
        <w:t>,</w:t>
      </w:r>
      <w:r w:rsidR="003715E0" w:rsidRPr="0024378B">
        <w:rPr>
          <w:rFonts w:cs="Arial"/>
        </w:rPr>
        <w:t xml:space="preserve"> the Department utilized the risk assessment tool to complete risk assessments of </w:t>
      </w:r>
      <w:r w:rsidR="003715E0" w:rsidRPr="00273094">
        <w:rPr>
          <w:rFonts w:cs="Arial"/>
          <w:b/>
        </w:rPr>
        <w:t xml:space="preserve">198 </w:t>
      </w:r>
      <w:r w:rsidR="003715E0" w:rsidRPr="0024378B">
        <w:rPr>
          <w:rFonts w:cs="Arial"/>
        </w:rPr>
        <w:t xml:space="preserve">jurisdictions.  </w:t>
      </w:r>
      <w:r w:rsidR="00F97EB5">
        <w:rPr>
          <w:rFonts w:cs="Arial"/>
        </w:rPr>
        <w:t>Due to that</w:t>
      </w:r>
      <w:r w:rsidR="003715E0" w:rsidRPr="0024378B">
        <w:rPr>
          <w:rFonts w:cs="Arial"/>
        </w:rPr>
        <w:t xml:space="preserve"> risk assessment, the Department anticipates performing </w:t>
      </w:r>
      <w:r w:rsidR="003715E0" w:rsidRPr="00273094">
        <w:rPr>
          <w:rFonts w:cs="Arial"/>
          <w:b/>
        </w:rPr>
        <w:t>three-to-four</w:t>
      </w:r>
      <w:r w:rsidR="003715E0" w:rsidRPr="0024378B">
        <w:rPr>
          <w:rFonts w:cs="Arial"/>
        </w:rPr>
        <w:t xml:space="preserve"> on site close out </w:t>
      </w:r>
      <w:r w:rsidR="00F97EB5" w:rsidRPr="0024378B">
        <w:rPr>
          <w:rFonts w:cs="Arial"/>
        </w:rPr>
        <w:t>monitoring’s</w:t>
      </w:r>
      <w:r w:rsidR="003715E0" w:rsidRPr="0024378B">
        <w:rPr>
          <w:rFonts w:cs="Arial"/>
        </w:rPr>
        <w:t xml:space="preserve"> of the jurisdictions that scored the highest on the risk assessment.  The Department will have the monitoring </w:t>
      </w:r>
      <w:r w:rsidR="00F97EB5" w:rsidRPr="0024378B">
        <w:rPr>
          <w:rFonts w:cs="Arial"/>
        </w:rPr>
        <w:t>completed</w:t>
      </w:r>
      <w:r w:rsidR="003715E0" w:rsidRPr="0024378B">
        <w:rPr>
          <w:rFonts w:cs="Arial"/>
        </w:rPr>
        <w:t xml:space="preserve"> by October of 2017.</w:t>
      </w:r>
      <w:r w:rsidRPr="0024378B">
        <w:rPr>
          <w:rFonts w:cs="Arial"/>
        </w:rPr>
        <w:t xml:space="preserve"> </w:t>
      </w:r>
      <w:r w:rsidR="00273094">
        <w:rPr>
          <w:rFonts w:cs="Arial"/>
        </w:rPr>
        <w:t xml:space="preserve"> In addition, the Department completed </w:t>
      </w:r>
      <w:r w:rsidR="00273094" w:rsidRPr="00273094">
        <w:rPr>
          <w:rFonts w:cs="Arial"/>
          <w:b/>
        </w:rPr>
        <w:t>seven</w:t>
      </w:r>
      <w:r w:rsidR="00273094">
        <w:rPr>
          <w:rFonts w:cs="Arial"/>
        </w:rPr>
        <w:t xml:space="preserve"> </w:t>
      </w:r>
      <w:r w:rsidRPr="0024378B">
        <w:rPr>
          <w:rFonts w:cs="Arial"/>
        </w:rPr>
        <w:t>closeout monitoring for rental and</w:t>
      </w:r>
      <w:r w:rsidR="00F97EB5">
        <w:rPr>
          <w:rFonts w:cs="Arial"/>
        </w:rPr>
        <w:t xml:space="preserve"> F</w:t>
      </w:r>
      <w:r w:rsidR="005F769F">
        <w:rPr>
          <w:rFonts w:cs="Arial"/>
        </w:rPr>
        <w:t>i</w:t>
      </w:r>
      <w:r w:rsidR="00F97EB5">
        <w:rPr>
          <w:rFonts w:cs="Arial"/>
        </w:rPr>
        <w:t>rst Time Home Buyer</w:t>
      </w:r>
      <w:r w:rsidRPr="0024378B">
        <w:rPr>
          <w:rFonts w:cs="Arial"/>
        </w:rPr>
        <w:t xml:space="preserve"> </w:t>
      </w:r>
      <w:r w:rsidR="00F97EB5">
        <w:rPr>
          <w:rFonts w:cs="Arial"/>
        </w:rPr>
        <w:t>(</w:t>
      </w:r>
      <w:r w:rsidRPr="0024378B">
        <w:rPr>
          <w:rFonts w:cs="Arial"/>
        </w:rPr>
        <w:t>FTHB</w:t>
      </w:r>
      <w:r w:rsidR="00F97EB5">
        <w:rPr>
          <w:rFonts w:cs="Arial"/>
        </w:rPr>
        <w:t>)</w:t>
      </w:r>
      <w:r w:rsidRPr="0024378B">
        <w:rPr>
          <w:rFonts w:cs="Arial"/>
        </w:rPr>
        <w:t xml:space="preserve"> projects (done within 12 months of project completion). </w:t>
      </w:r>
    </w:p>
    <w:p w14:paraId="0990E9C4" w14:textId="77777777" w:rsidR="00A837A2" w:rsidRPr="0024378B" w:rsidRDefault="00A837A2" w:rsidP="00273094">
      <w:pPr>
        <w:widowControl w:val="0"/>
        <w:spacing w:before="100" w:beforeAutospacing="1" w:after="100" w:afterAutospacing="1"/>
        <w:ind w:left="720"/>
        <w:rPr>
          <w:rFonts w:cs="Arial"/>
        </w:rPr>
      </w:pPr>
      <w:r w:rsidRPr="0024378B">
        <w:rPr>
          <w:rFonts w:cs="Arial"/>
          <w:b/>
          <w:bCs/>
        </w:rPr>
        <w:lastRenderedPageBreak/>
        <w:t>(2)</w:t>
      </w:r>
      <w:r w:rsidRPr="0024378B">
        <w:rPr>
          <w:rFonts w:cs="Arial"/>
        </w:rPr>
        <w:t xml:space="preserve"> </w:t>
      </w:r>
      <w:r w:rsidRPr="0024378B">
        <w:rPr>
          <w:rFonts w:cs="Arial"/>
          <w:b/>
          <w:bCs/>
        </w:rPr>
        <w:t>CHDO Project</w:t>
      </w:r>
      <w:r w:rsidRPr="0024378B">
        <w:rPr>
          <w:rFonts w:cs="Arial"/>
        </w:rPr>
        <w:t xml:space="preserve"> </w:t>
      </w:r>
      <w:r w:rsidRPr="0024378B">
        <w:rPr>
          <w:rFonts w:cs="Arial"/>
          <w:b/>
          <w:bCs/>
        </w:rPr>
        <w:t>Long-Term Monitoring</w:t>
      </w:r>
      <w:r w:rsidR="00F97EB5">
        <w:rPr>
          <w:rFonts w:cs="Arial"/>
        </w:rPr>
        <w:t xml:space="preserve"> is done by the Department</w:t>
      </w:r>
      <w:r w:rsidRPr="0024378B">
        <w:rPr>
          <w:rFonts w:cs="Arial"/>
        </w:rPr>
        <w:t xml:space="preserve"> on rental and homebuyer projects involving </w:t>
      </w:r>
      <w:r w:rsidR="00F97EB5">
        <w:rPr>
          <w:rFonts w:cs="Arial"/>
        </w:rPr>
        <w:t>Community Housing Development Organizations (</w:t>
      </w:r>
      <w:r w:rsidRPr="0024378B">
        <w:rPr>
          <w:rFonts w:cs="Arial"/>
        </w:rPr>
        <w:t>CHDOs</w:t>
      </w:r>
      <w:r w:rsidR="00F97EB5">
        <w:rPr>
          <w:rFonts w:cs="Arial"/>
        </w:rPr>
        <w:t>)</w:t>
      </w:r>
      <w:r w:rsidRPr="0024378B">
        <w:rPr>
          <w:rFonts w:cs="Arial"/>
        </w:rPr>
        <w:t xml:space="preserve">.  On these projects, the Department holds the Note and Deed of Trust.  The purpose of this monitoring is to assess ongoing compliance with HOME rent and occupancy requirements, fair housing requirements, and the ongoing physical and financial condition of the project.  As part of this assessment, annual review of project rents, operating budgets, and financial statements is performed to check compliance with project rent and operating requirements pursuant to the Department’s Uniform Multifamily Regulations </w:t>
      </w:r>
      <w:r w:rsidR="00F97EB5">
        <w:rPr>
          <w:rFonts w:cs="Arial"/>
        </w:rPr>
        <w:t xml:space="preserve">(UMRs) </w:t>
      </w:r>
      <w:r w:rsidRPr="0024378B">
        <w:rPr>
          <w:rFonts w:cs="Arial"/>
        </w:rPr>
        <w:t xml:space="preserve">and </w:t>
      </w:r>
      <w:hyperlink r:id="rId34" w:history="1">
        <w:r w:rsidRPr="00F97EB5">
          <w:rPr>
            <w:rStyle w:val="Hyperlink"/>
            <w:rFonts w:cs="Arial"/>
            <w:color w:val="0000FF"/>
          </w:rPr>
          <w:t>24 CFR 92.252.</w:t>
        </w:r>
        <w:r w:rsidRPr="00F97EB5">
          <w:rPr>
            <w:rStyle w:val="Hyperlink"/>
            <w:rFonts w:cs="Arial"/>
            <w:color w:val="0000FF"/>
            <w:u w:val="none"/>
          </w:rPr>
          <w:t> </w:t>
        </w:r>
      </w:hyperlink>
      <w:r w:rsidRPr="0024378B">
        <w:rPr>
          <w:rFonts w:cs="Arial"/>
        </w:rPr>
        <w:t xml:space="preserve"> Annual Affirmative Marketing Reports and </w:t>
      </w:r>
      <w:r w:rsidRPr="00273094">
        <w:rPr>
          <w:rFonts w:cs="Arial"/>
          <w:b/>
        </w:rPr>
        <w:t>5-year</w:t>
      </w:r>
      <w:r w:rsidRPr="0024378B">
        <w:rPr>
          <w:rFonts w:cs="Arial"/>
        </w:rPr>
        <w:t xml:space="preserve"> Affirmative Marketing Plans are also reviewed.  Site visits to assess compliance with HOME income limits, income verification requirements, rent restrictions and federal Housing Quality Standards are also performed. (UPCS standards will be used in future years as required.)  Site visits are performed pursuant to the requirements set forth in </w:t>
      </w:r>
      <w:hyperlink r:id="rId35" w:history="1">
        <w:r w:rsidR="00F97EB5" w:rsidRPr="00F97EB5">
          <w:rPr>
            <w:rStyle w:val="Hyperlink"/>
            <w:rFonts w:cs="Arial"/>
            <w:color w:val="0000FF"/>
          </w:rPr>
          <w:t xml:space="preserve">24 CFR </w:t>
        </w:r>
        <w:r w:rsidRPr="00F97EB5">
          <w:rPr>
            <w:rStyle w:val="Hyperlink"/>
            <w:rFonts w:cs="Arial"/>
            <w:color w:val="0000FF"/>
          </w:rPr>
          <w:t>92.504</w:t>
        </w:r>
      </w:hyperlink>
      <w:r w:rsidRPr="00F97EB5">
        <w:rPr>
          <w:rFonts w:cs="Arial"/>
          <w:color w:val="0000FF"/>
        </w:rPr>
        <w:t xml:space="preserve"> </w:t>
      </w:r>
      <w:r w:rsidRPr="0024378B">
        <w:rPr>
          <w:rFonts w:cs="Arial"/>
        </w:rPr>
        <w:t>(d).  In FY 2016-17,</w:t>
      </w:r>
      <w:r w:rsidR="00273094">
        <w:rPr>
          <w:rFonts w:cs="Arial"/>
        </w:rPr>
        <w:t xml:space="preserve"> the Department performed</w:t>
      </w:r>
      <w:r w:rsidRPr="0024378B">
        <w:rPr>
          <w:rFonts w:cs="Arial"/>
        </w:rPr>
        <w:t xml:space="preserve"> </w:t>
      </w:r>
      <w:r w:rsidRPr="00273094">
        <w:rPr>
          <w:rFonts w:cs="Arial"/>
          <w:b/>
        </w:rPr>
        <w:t>79</w:t>
      </w:r>
      <w:r w:rsidRPr="0024378B">
        <w:rPr>
          <w:rFonts w:cs="Arial"/>
        </w:rPr>
        <w:t xml:space="preserve"> site visits on CHDO loans.  </w:t>
      </w:r>
      <w:r w:rsidR="00273094">
        <w:rPr>
          <w:rFonts w:cs="Arial"/>
        </w:rPr>
        <w:t>The Department met</w:t>
      </w:r>
      <w:r w:rsidRPr="0024378B">
        <w:rPr>
          <w:rFonts w:cs="Arial"/>
        </w:rPr>
        <w:t xml:space="preserve"> </w:t>
      </w:r>
      <w:r w:rsidRPr="00273094">
        <w:rPr>
          <w:rFonts w:cs="Arial"/>
          <w:b/>
        </w:rPr>
        <w:t>100</w:t>
      </w:r>
      <w:r w:rsidRPr="0024378B">
        <w:rPr>
          <w:rFonts w:cs="Arial"/>
        </w:rPr>
        <w:t xml:space="preserve"> percent of the site visits that had been required during the fiscal year</w:t>
      </w:r>
      <w:r w:rsidR="005F769F">
        <w:rPr>
          <w:rFonts w:cs="Arial"/>
        </w:rPr>
        <w:t>.</w:t>
      </w:r>
    </w:p>
    <w:p w14:paraId="1764C252" w14:textId="77777777" w:rsidR="00D53273" w:rsidRPr="0024378B" w:rsidRDefault="00D53273" w:rsidP="00273094">
      <w:pPr>
        <w:widowControl w:val="0"/>
        <w:spacing w:before="100" w:beforeAutospacing="1" w:after="100" w:afterAutospacing="1"/>
        <w:ind w:left="720"/>
        <w:rPr>
          <w:rFonts w:cs="Arial"/>
        </w:rPr>
      </w:pPr>
      <w:r w:rsidRPr="0024378B">
        <w:rPr>
          <w:b/>
        </w:rPr>
        <w:t>(3) State Recipient Long-Term Monitoring</w:t>
      </w:r>
      <w:r w:rsidRPr="0024378B">
        <w:t xml:space="preserve"> is an assessment of performance of the above monitoring activities by local jurisdictions. </w:t>
      </w:r>
      <w:r w:rsidR="00273094">
        <w:t xml:space="preserve"> </w:t>
      </w:r>
      <w:r w:rsidRPr="0024378B">
        <w:t xml:space="preserve">HOME </w:t>
      </w:r>
      <w:r w:rsidR="008C5148" w:rsidRPr="0024378B">
        <w:t xml:space="preserve">state recipients </w:t>
      </w:r>
      <w:r w:rsidRPr="0024378B">
        <w:t xml:space="preserve">are the lenders for rental and homebuyer new construction and rehabilitation projects where they have applied directly to the </w:t>
      </w:r>
      <w:r w:rsidR="00B800AA">
        <w:t>Department</w:t>
      </w:r>
      <w:r w:rsidR="00B800AA" w:rsidRPr="0024378B">
        <w:t xml:space="preserve"> </w:t>
      </w:r>
      <w:r w:rsidRPr="0024378B">
        <w:t>for HOME funds, rather than the CHDO being the recipient of the funds.</w:t>
      </w:r>
      <w:r w:rsidR="00273094">
        <w:t xml:space="preserve"> </w:t>
      </w:r>
      <w:r w:rsidRPr="0024378B">
        <w:t xml:space="preserve"> An office review consists of an Annual Monitoring Report</w:t>
      </w:r>
      <w:r w:rsidR="00273094">
        <w:t>,</w:t>
      </w:r>
      <w:r w:rsidRPr="0024378B">
        <w:t xml:space="preserve"> questionnaire and Project Compliance Report</w:t>
      </w:r>
      <w:r w:rsidR="00273094">
        <w:t>,</w:t>
      </w:r>
      <w:r w:rsidRPr="0024378B">
        <w:t xml:space="preserve"> </w:t>
      </w:r>
      <w:r w:rsidR="00273094">
        <w:t>that</w:t>
      </w:r>
      <w:r w:rsidRPr="0024378B">
        <w:t xml:space="preserve"> asks about project financial condition and compliance with other federal HOME requirements, a copy of the project utility allowance schedule (form HUD-52667); a copy of the </w:t>
      </w:r>
      <w:r w:rsidR="008C5148" w:rsidRPr="0024378B">
        <w:t>state recipient</w:t>
      </w:r>
      <w:r w:rsidR="00B800AA">
        <w:t>’</w:t>
      </w:r>
      <w:r w:rsidR="008C5148" w:rsidRPr="0024378B">
        <w:t xml:space="preserve">s </w:t>
      </w:r>
      <w:r w:rsidRPr="0024378B">
        <w:t xml:space="preserve">last long term monitoring Summary Letter and Clearance Letter to the project owner/manager, a copy of Physical Conditions report, and a copy of the project Annual Affirmative Marketing Analysis Report.   </w:t>
      </w:r>
    </w:p>
    <w:p w14:paraId="0F7F8D86" w14:textId="77777777" w:rsidR="001636A0" w:rsidRPr="007577C9" w:rsidRDefault="00386355" w:rsidP="0024378B">
      <w:pPr>
        <w:ind w:left="720"/>
        <w:rPr>
          <w:rFonts w:cs="Arial"/>
        </w:rPr>
      </w:pPr>
      <w:r w:rsidRPr="0024378B">
        <w:rPr>
          <w:rFonts w:cs="Arial"/>
        </w:rPr>
        <w:t xml:space="preserve">In FY 2016-17, </w:t>
      </w:r>
      <w:r w:rsidRPr="00273094">
        <w:rPr>
          <w:rFonts w:cs="Arial"/>
          <w:b/>
        </w:rPr>
        <w:t xml:space="preserve">164 </w:t>
      </w:r>
      <w:r w:rsidRPr="0024378B">
        <w:rPr>
          <w:rFonts w:cs="Arial"/>
        </w:rPr>
        <w:t xml:space="preserve">assessments of state </w:t>
      </w:r>
      <w:r w:rsidR="00B800AA">
        <w:rPr>
          <w:rFonts w:cs="Arial"/>
        </w:rPr>
        <w:t>r</w:t>
      </w:r>
      <w:r w:rsidRPr="0024378B">
        <w:rPr>
          <w:rFonts w:cs="Arial"/>
        </w:rPr>
        <w:t xml:space="preserve">ecipient monitoring activities were </w:t>
      </w:r>
      <w:r w:rsidR="00273094">
        <w:rPr>
          <w:rFonts w:cs="Arial"/>
        </w:rPr>
        <w:t>completed</w:t>
      </w:r>
      <w:r w:rsidRPr="0024378B">
        <w:rPr>
          <w:rFonts w:cs="Arial"/>
        </w:rPr>
        <w:t>.  Following from these assessments, the Department staff monitors individual projects directly, where risk assessment of individual project compliance with HOME requirements indicate that these projects should receive a site</w:t>
      </w:r>
      <w:r w:rsidR="00B800AA">
        <w:rPr>
          <w:rFonts w:cs="Arial"/>
        </w:rPr>
        <w:t xml:space="preserve"> </w:t>
      </w:r>
      <w:r w:rsidRPr="0024378B">
        <w:rPr>
          <w:rFonts w:cs="Arial"/>
        </w:rPr>
        <w:t xml:space="preserve">visit from Department staff.  In FY 2016-17 </w:t>
      </w:r>
      <w:r w:rsidRPr="00273094">
        <w:rPr>
          <w:rFonts w:cs="Arial"/>
          <w:b/>
        </w:rPr>
        <w:t>six</w:t>
      </w:r>
      <w:r w:rsidRPr="0024378B">
        <w:rPr>
          <w:rFonts w:cs="Arial"/>
        </w:rPr>
        <w:t xml:space="preserve"> of these site visits by the Department staff were </w:t>
      </w:r>
      <w:r w:rsidR="00273094">
        <w:rPr>
          <w:rFonts w:cs="Arial"/>
        </w:rPr>
        <w:t>completed</w:t>
      </w:r>
      <w:r w:rsidRPr="0024378B">
        <w:rPr>
          <w:rFonts w:cs="Arial"/>
        </w:rPr>
        <w:t>.</w:t>
      </w:r>
      <w:r w:rsidR="00273094">
        <w:rPr>
          <w:rFonts w:cs="Arial"/>
        </w:rPr>
        <w:t xml:space="preserve"> </w:t>
      </w:r>
      <w:r w:rsidRPr="0024378B">
        <w:rPr>
          <w:rFonts w:cs="Arial"/>
        </w:rPr>
        <w:t xml:space="preserve"> A total of </w:t>
      </w:r>
      <w:r w:rsidRPr="00273094">
        <w:rPr>
          <w:rFonts w:cs="Arial"/>
          <w:b/>
        </w:rPr>
        <w:t>158</w:t>
      </w:r>
      <w:r w:rsidRPr="0024378B">
        <w:rPr>
          <w:rFonts w:cs="Arial"/>
        </w:rPr>
        <w:t xml:space="preserve"> site visits were </w:t>
      </w:r>
      <w:r w:rsidR="00273094">
        <w:rPr>
          <w:rFonts w:cs="Arial"/>
        </w:rPr>
        <w:t>performed</w:t>
      </w:r>
      <w:r w:rsidRPr="0024378B">
        <w:rPr>
          <w:rFonts w:cs="Arial"/>
        </w:rPr>
        <w:t xml:space="preserve"> on state recipient’s projects.  More information regarding the results of all HOME project site visits, whether done </w:t>
      </w:r>
      <w:r w:rsidRPr="007577C9">
        <w:rPr>
          <w:rFonts w:cs="Arial"/>
        </w:rPr>
        <w:t>by the Department or state recipient staff, is discussed in the HOME Monitoring Data accompanying this CAPER.</w:t>
      </w:r>
    </w:p>
    <w:p w14:paraId="2B64F6F7" w14:textId="1BB8D65B" w:rsidR="0024378B" w:rsidRPr="0024378B" w:rsidRDefault="0024378B" w:rsidP="0024378B">
      <w:pPr>
        <w:ind w:left="720"/>
        <w:rPr>
          <w:b/>
          <w:bCs/>
        </w:rPr>
      </w:pPr>
      <w:r w:rsidRPr="0024378B">
        <w:rPr>
          <w:b/>
          <w:bCs/>
        </w:rPr>
        <w:t>(4) Rental Project</w:t>
      </w:r>
      <w:r w:rsidRPr="0024378B">
        <w:rPr>
          <w:b/>
          <w:bCs/>
          <w:strike/>
        </w:rPr>
        <w:t xml:space="preserve"> </w:t>
      </w:r>
      <w:r w:rsidRPr="0024378B">
        <w:rPr>
          <w:b/>
          <w:bCs/>
        </w:rPr>
        <w:t>Construction Closeout Monitoring</w:t>
      </w:r>
      <w:r w:rsidRPr="0024378B">
        <w:t xml:space="preserve"> is also done throughout the year.  The Department is in the process of updating checklists and will be performing ten State Recipient (SR) closeout monitoring in</w:t>
      </w:r>
      <w:r>
        <w:t xml:space="preserve"> October and November</w:t>
      </w:r>
      <w:r w:rsidR="001636A0">
        <w:t xml:space="preserve"> 2017</w:t>
      </w:r>
      <w:r w:rsidR="009318F6">
        <w:t>.</w:t>
      </w:r>
      <w:r>
        <w:t xml:space="preserve">  Minority Business Enterprise/Women Business Enterprise (MBE/WBE) and </w:t>
      </w:r>
      <w:hyperlink r:id="rId36" w:history="1">
        <w:r>
          <w:rPr>
            <w:rStyle w:val="Hyperlink"/>
            <w:color w:val="0000FF"/>
          </w:rPr>
          <w:t>Section 3</w:t>
        </w:r>
        <w:r>
          <w:rPr>
            <w:rStyle w:val="Hyperlink"/>
          </w:rPr>
          <w:t xml:space="preserve"> </w:t>
        </w:r>
      </w:hyperlink>
      <w:r>
        <w:t xml:space="preserve">goals assessment and outreach activities are monitored as part of HOMEs grantee Annual Performance Reports.  See the Annual Performance Report Form at </w:t>
      </w:r>
      <w:hyperlink r:id="rId37" w:history="1">
        <w:r w:rsidR="003418FB" w:rsidRPr="003E6342">
          <w:rPr>
            <w:rStyle w:val="Hyperlink"/>
            <w:color w:val="3333FF"/>
          </w:rPr>
          <w:t>http://www.hcd.ca.gov/grants-funding/active-funding/home.shtm</w:t>
        </w:r>
        <w:r w:rsidR="003418FB" w:rsidRPr="00AA14B0">
          <w:rPr>
            <w:rStyle w:val="Hyperlink"/>
          </w:rPr>
          <w:t>l</w:t>
        </w:r>
      </w:hyperlink>
      <w:r w:rsidRPr="003418FB">
        <w:rPr>
          <w:color w:val="3333FF"/>
        </w:rPr>
        <w:t xml:space="preserve"> </w:t>
      </w:r>
      <w:r>
        <w:t xml:space="preserve">for more information. </w:t>
      </w:r>
    </w:p>
    <w:p w14:paraId="096CBC27" w14:textId="77777777" w:rsidR="00525BE0" w:rsidRPr="0024378B" w:rsidRDefault="00D53273" w:rsidP="00F64F77">
      <w:pPr>
        <w:widowControl w:val="0"/>
        <w:spacing w:before="100" w:beforeAutospacing="1" w:after="100" w:afterAutospacing="1"/>
      </w:pPr>
      <w:r w:rsidRPr="0024378B">
        <w:rPr>
          <w:b/>
        </w:rPr>
        <w:lastRenderedPageBreak/>
        <w:t>ESG</w:t>
      </w:r>
      <w:r w:rsidRPr="0024378B">
        <w:t xml:space="preserve">: </w:t>
      </w:r>
      <w:r w:rsidR="00525BE0" w:rsidRPr="0024378B">
        <w:t xml:space="preserve"> </w:t>
      </w:r>
      <w:r w:rsidRPr="0024378B">
        <w:t>The ESG program monitors sub-grantee performance primarily through desk monitoring of financial expenditures to ensure that requests for ESG funds comply with the HUD ESG expenditure guide.</w:t>
      </w:r>
      <w:r w:rsidR="00473271" w:rsidRPr="0024378B">
        <w:t xml:space="preserve"> </w:t>
      </w:r>
      <w:r w:rsidRPr="0024378B">
        <w:t xml:space="preserve"> Other federal requirements are also monitored including, but not limited to, Written Standards requirements and participation in </w:t>
      </w:r>
      <w:r w:rsidR="00273094">
        <w:t>the Homeless Management Information System (</w:t>
      </w:r>
      <w:r w:rsidRPr="0024378B">
        <w:t>HMIS</w:t>
      </w:r>
      <w:r w:rsidR="00273094">
        <w:t>)</w:t>
      </w:r>
      <w:r w:rsidRPr="0024378B">
        <w:t>.</w:t>
      </w:r>
    </w:p>
    <w:p w14:paraId="2B7AE5CF" w14:textId="77777777" w:rsidR="00D53273" w:rsidRPr="009B5D49" w:rsidRDefault="00525BE0" w:rsidP="00F64F77">
      <w:pPr>
        <w:widowControl w:val="0"/>
        <w:spacing w:before="100" w:beforeAutospacing="1" w:after="100" w:afterAutospacing="1"/>
        <w:rPr>
          <w:rFonts w:cs="Arial"/>
          <w:color w:val="002060"/>
          <w:u w:val="single"/>
        </w:rPr>
      </w:pPr>
      <w:r w:rsidRPr="0024378B">
        <w:rPr>
          <w:b/>
        </w:rPr>
        <w:t>LHCP</w:t>
      </w:r>
      <w:r w:rsidR="00D53273" w:rsidRPr="0024378B">
        <w:t xml:space="preserve">:  </w:t>
      </w:r>
      <w:r w:rsidR="00C0352B" w:rsidRPr="0024378B">
        <w:t>The Lead Hazard Control Program (LHCP) m</w:t>
      </w:r>
      <w:r w:rsidR="00D53273" w:rsidRPr="0024378B">
        <w:t>onito</w:t>
      </w:r>
      <w:r w:rsidR="00C0352B" w:rsidRPr="0024378B">
        <w:t xml:space="preserve">ring performance standards </w:t>
      </w:r>
      <w:r w:rsidR="00D53273" w:rsidRPr="0024378B">
        <w:t>are evaluated on a quarterly basis taking into account the number of inspections, units completed, units referred from local housing/health agencies, and expenditures as proposed by quarter and compared to the actual completed.  In addition, the timeliness of fiscal and programmatic reports, quality of programmatic</w:t>
      </w:r>
      <w:r w:rsidR="00D53273" w:rsidRPr="003D517D">
        <w:t xml:space="preserve"> reports, results of on-site monitoring, results of </w:t>
      </w:r>
      <w:r w:rsidR="00BD5816">
        <w:t>LHCP</w:t>
      </w:r>
      <w:r w:rsidR="00D53273" w:rsidRPr="003D517D">
        <w:t xml:space="preserve"> inspections, and timeliness to resolve performance deficiencies will be monitored.  Continued periodic field visits to supervise work activities, training and technical assistance, on-site visits, and desk reviews are utilized to ensure program contractual compliance.  When </w:t>
      </w:r>
      <w:r w:rsidR="00BD5816">
        <w:t>LHCP</w:t>
      </w:r>
      <w:r w:rsidR="00F64F77">
        <w:t xml:space="preserve"> </w:t>
      </w:r>
      <w:r w:rsidR="00D53273" w:rsidRPr="003D517D">
        <w:t xml:space="preserve">requires subcontracting activities, LHCP is to follow </w:t>
      </w:r>
      <w:r w:rsidR="008C5148" w:rsidRPr="003D517D">
        <w:t xml:space="preserve">state </w:t>
      </w:r>
      <w:r w:rsidR="00D53273" w:rsidRPr="003D517D">
        <w:t>procurement procedures, which includes the open and fair competitive bidding process and using minority owned businesses.  This is also part of monitoring standards and procedures.</w:t>
      </w:r>
    </w:p>
    <w:p w14:paraId="24CEEE2C" w14:textId="77777777" w:rsidR="00D53273" w:rsidRPr="00F64F77" w:rsidRDefault="00D53273" w:rsidP="00D53273">
      <w:pPr>
        <w:rPr>
          <w:b/>
          <w:u w:val="single"/>
        </w:rPr>
      </w:pPr>
      <w:r w:rsidRPr="00F64F77">
        <w:rPr>
          <w:rFonts w:cs="Arial"/>
          <w:b/>
          <w:u w:val="single"/>
        </w:rPr>
        <w:t>Describe the standards and procedures used to monitor activities carried out in furtherance</w:t>
      </w:r>
    </w:p>
    <w:p w14:paraId="3193DBC3" w14:textId="77777777" w:rsidR="00BE0281" w:rsidRPr="003D517D" w:rsidRDefault="00BE0281" w:rsidP="00BE0281">
      <w:pPr>
        <w:spacing w:after="240"/>
        <w:ind w:right="433"/>
        <w:rPr>
          <w:rFonts w:cs="Arial"/>
          <w:szCs w:val="24"/>
        </w:rPr>
      </w:pPr>
      <w:r w:rsidRPr="002E4D24">
        <w:rPr>
          <w:rFonts w:cs="Arial"/>
          <w:b/>
        </w:rPr>
        <w:t xml:space="preserve">HOPWA: </w:t>
      </w:r>
      <w:r w:rsidR="00542C87">
        <w:rPr>
          <w:rFonts w:cs="Arial"/>
        </w:rPr>
        <w:t>The Housing Opportunities for Persons with AIDS (</w:t>
      </w:r>
      <w:r w:rsidRPr="003D517D">
        <w:rPr>
          <w:rFonts w:cs="Arial"/>
          <w:szCs w:val="24"/>
        </w:rPr>
        <w:t>HOPWA</w:t>
      </w:r>
      <w:r w:rsidR="00542C87">
        <w:rPr>
          <w:rFonts w:cs="Arial"/>
          <w:szCs w:val="24"/>
        </w:rPr>
        <w:t>)</w:t>
      </w:r>
      <w:r w:rsidRPr="003D517D">
        <w:rPr>
          <w:rFonts w:cs="Arial"/>
          <w:szCs w:val="24"/>
        </w:rPr>
        <w:t xml:space="preserve"> project sponsors are required to submit an annual application to </w:t>
      </w:r>
      <w:r w:rsidR="00542C87">
        <w:rPr>
          <w:rFonts w:cs="Arial"/>
          <w:szCs w:val="24"/>
        </w:rPr>
        <w:t>the California Department of Public Health/Office of AIDS (</w:t>
      </w:r>
      <w:r w:rsidRPr="003D517D">
        <w:rPr>
          <w:rFonts w:cs="Arial"/>
          <w:szCs w:val="24"/>
        </w:rPr>
        <w:t>CDPH/OA</w:t>
      </w:r>
      <w:r w:rsidR="00542C87">
        <w:rPr>
          <w:rFonts w:cs="Arial"/>
          <w:szCs w:val="24"/>
        </w:rPr>
        <w:t>)</w:t>
      </w:r>
      <w:r w:rsidRPr="003D517D">
        <w:rPr>
          <w:rFonts w:cs="Arial"/>
          <w:szCs w:val="24"/>
        </w:rPr>
        <w:t xml:space="preserve">, which includes a program implementation plan describing community planning and collaboration </w:t>
      </w:r>
      <w:r w:rsidR="00F64F77" w:rsidRPr="003D517D">
        <w:rPr>
          <w:rFonts w:cs="Arial"/>
          <w:szCs w:val="24"/>
        </w:rPr>
        <w:t>efforts</w:t>
      </w:r>
      <w:r w:rsidR="00F64F77">
        <w:rPr>
          <w:rFonts w:cs="Arial"/>
          <w:szCs w:val="24"/>
        </w:rPr>
        <w:t>,</w:t>
      </w:r>
      <w:r w:rsidR="00F64F77" w:rsidRPr="003D517D">
        <w:rPr>
          <w:rFonts w:cs="Arial"/>
          <w:szCs w:val="24"/>
        </w:rPr>
        <w:t xml:space="preserve"> anticipated</w:t>
      </w:r>
      <w:r w:rsidRPr="003D517D">
        <w:rPr>
          <w:rFonts w:cs="Arial"/>
          <w:szCs w:val="24"/>
        </w:rPr>
        <w:t xml:space="preserve"> goals, and a budget detail of activities to be provided. </w:t>
      </w:r>
      <w:r w:rsidR="00542C87">
        <w:rPr>
          <w:rFonts w:cs="Arial"/>
          <w:szCs w:val="24"/>
        </w:rPr>
        <w:t xml:space="preserve"> </w:t>
      </w:r>
      <w:r w:rsidRPr="003D517D">
        <w:rPr>
          <w:rFonts w:cs="Arial"/>
          <w:szCs w:val="24"/>
        </w:rPr>
        <w:t>When selecting new project sponsors, CDPH/OA includes outreach to minority businesses, faith-based, and grass roots organizations in the Request for Application process.</w:t>
      </w:r>
    </w:p>
    <w:p w14:paraId="10629026" w14:textId="77777777" w:rsidR="00BE0281" w:rsidRPr="002E4D24" w:rsidRDefault="00BE0281" w:rsidP="00BE0281">
      <w:pPr>
        <w:spacing w:after="240"/>
        <w:ind w:right="433"/>
        <w:rPr>
          <w:rFonts w:cs="Arial"/>
          <w:szCs w:val="24"/>
        </w:rPr>
      </w:pPr>
      <w:r w:rsidRPr="002E4D24">
        <w:rPr>
          <w:rFonts w:cs="Arial"/>
          <w:szCs w:val="24"/>
        </w:rPr>
        <w:t>Monitoring activities include both onsite compliance monitoring visits and desk monitoring through review and analysis of required progress reports and invoice back-up detail documentation.</w:t>
      </w:r>
      <w:r w:rsidR="00542C87">
        <w:rPr>
          <w:rFonts w:cs="Arial"/>
          <w:szCs w:val="24"/>
        </w:rPr>
        <w:t xml:space="preserve"> </w:t>
      </w:r>
      <w:r w:rsidRPr="002E4D24">
        <w:rPr>
          <w:rFonts w:cs="Arial"/>
          <w:szCs w:val="24"/>
        </w:rPr>
        <w:t xml:space="preserve"> CDPH/OA also performs a variety of technical assistance activities, including phone calls, e-mails, and webinars with project sponsors. </w:t>
      </w:r>
      <w:r w:rsidR="00542C87">
        <w:rPr>
          <w:rFonts w:cs="Arial"/>
          <w:szCs w:val="24"/>
        </w:rPr>
        <w:t xml:space="preserve"> </w:t>
      </w:r>
      <w:r w:rsidRPr="002E4D24">
        <w:rPr>
          <w:rFonts w:cs="Arial"/>
          <w:szCs w:val="24"/>
        </w:rPr>
        <w:t xml:space="preserve">This year, CDPH/OA implemented quarterly webinars, which provide focused technical assistance to project sponsors. </w:t>
      </w:r>
      <w:r w:rsidR="00542C87">
        <w:rPr>
          <w:rFonts w:cs="Arial"/>
          <w:szCs w:val="24"/>
        </w:rPr>
        <w:t xml:space="preserve"> </w:t>
      </w:r>
      <w:r w:rsidRPr="002E4D24">
        <w:rPr>
          <w:rFonts w:cs="Arial"/>
          <w:szCs w:val="24"/>
        </w:rPr>
        <w:t xml:space="preserve">CDPH/OA has developed monitoring procedures and survey tools based on the HUD Monitoring Handbook for HOPWA, which are utilized during onsite monitoring visits. </w:t>
      </w:r>
      <w:r w:rsidR="00542C87">
        <w:rPr>
          <w:rFonts w:cs="Arial"/>
          <w:szCs w:val="24"/>
        </w:rPr>
        <w:t xml:space="preserve"> </w:t>
      </w:r>
      <w:r w:rsidRPr="002E4D24">
        <w:rPr>
          <w:rFonts w:cs="Arial"/>
          <w:szCs w:val="24"/>
        </w:rPr>
        <w:t>A periodic project sponsor risk analysis is completed, which rates project sponsor performance in descending order, from highest to lowest risk; CDPH/OA uses this risk analysis to prioritize compliance monitoring visits.</w:t>
      </w:r>
    </w:p>
    <w:p w14:paraId="3040C025" w14:textId="77777777" w:rsidR="00D53273" w:rsidRPr="00F64F77" w:rsidRDefault="00D53273" w:rsidP="00D53273">
      <w:pPr>
        <w:widowControl w:val="0"/>
        <w:rPr>
          <w:b/>
          <w:szCs w:val="24"/>
        </w:rPr>
      </w:pPr>
      <w:r w:rsidRPr="00F64F77">
        <w:rPr>
          <w:b/>
          <w:szCs w:val="24"/>
          <w:u w:val="single"/>
        </w:rPr>
        <w:t>Describe the efforts to provide citizens with reasonable notice and an opportunity to comment on performance reports</w:t>
      </w:r>
      <w:r w:rsidRPr="00F64F77">
        <w:rPr>
          <w:b/>
          <w:szCs w:val="24"/>
        </w:rPr>
        <w:t>.</w:t>
      </w:r>
    </w:p>
    <w:p w14:paraId="3F182A14" w14:textId="0623F39B" w:rsidR="00D53273" w:rsidRPr="003418FB" w:rsidRDefault="00D53273" w:rsidP="00A5142A">
      <w:pPr>
        <w:widowControl w:val="0"/>
        <w:spacing w:before="100" w:beforeAutospacing="1" w:after="100" w:afterAutospacing="1"/>
        <w:rPr>
          <w:rFonts w:cs="Arial"/>
        </w:rPr>
      </w:pPr>
      <w:r w:rsidRPr="003D517D">
        <w:rPr>
          <w:rFonts w:cs="Arial"/>
        </w:rPr>
        <w:t xml:space="preserve">Pursuant to </w:t>
      </w:r>
      <w:hyperlink r:id="rId38" w:history="1">
        <w:r w:rsidRPr="00542C87">
          <w:rPr>
            <w:rStyle w:val="Hyperlink"/>
            <w:rFonts w:cs="Arial"/>
            <w:color w:val="0000FF"/>
          </w:rPr>
          <w:t>24 CFR Part 91</w:t>
        </w:r>
      </w:hyperlink>
      <w:r w:rsidRPr="003D517D">
        <w:rPr>
          <w:rFonts w:cs="Arial"/>
        </w:rPr>
        <w:t xml:space="preserve">, citizen participation requirements for </w:t>
      </w:r>
      <w:r w:rsidR="008C5148" w:rsidRPr="003D517D">
        <w:rPr>
          <w:rFonts w:cs="Arial"/>
        </w:rPr>
        <w:t>states</w:t>
      </w:r>
      <w:r w:rsidRPr="003D517D">
        <w:rPr>
          <w:rFonts w:cs="Arial"/>
        </w:rPr>
        <w:t xml:space="preserve">, the </w:t>
      </w:r>
      <w:r w:rsidR="003F303C">
        <w:rPr>
          <w:rFonts w:cs="Arial"/>
        </w:rPr>
        <w:t xml:space="preserve">Department </w:t>
      </w:r>
      <w:r w:rsidRPr="003D517D">
        <w:rPr>
          <w:rFonts w:cs="Arial"/>
        </w:rPr>
        <w:t xml:space="preserve">provides adequate notice at the opening of the </w:t>
      </w:r>
      <w:r w:rsidR="00F438FF">
        <w:rPr>
          <w:rFonts w:cs="Arial"/>
          <w:b/>
        </w:rPr>
        <w:t>15</w:t>
      </w:r>
      <w:r w:rsidR="0024378B" w:rsidRPr="00542C87">
        <w:rPr>
          <w:rFonts w:cs="Arial"/>
          <w:b/>
        </w:rPr>
        <w:t>-</w:t>
      </w:r>
      <w:r w:rsidRPr="00542C87">
        <w:rPr>
          <w:rFonts w:cs="Arial"/>
          <w:b/>
        </w:rPr>
        <w:t>day comment period</w:t>
      </w:r>
      <w:r w:rsidRPr="003D517D">
        <w:rPr>
          <w:rFonts w:cs="Arial"/>
        </w:rPr>
        <w:t xml:space="preserve"> and the public hearing on the CAPER. </w:t>
      </w:r>
      <w:r w:rsidR="0024378B">
        <w:rPr>
          <w:rFonts w:cs="Arial"/>
        </w:rPr>
        <w:t xml:space="preserve"> </w:t>
      </w:r>
      <w:r w:rsidRPr="003D517D">
        <w:rPr>
          <w:rFonts w:cs="Arial"/>
        </w:rPr>
        <w:t xml:space="preserve">The notice is provided by wide distribution (including but not limited to county planning departments, depository libraries, distribution through electronic mailing lists of the affected federal programs, </w:t>
      </w:r>
      <w:r w:rsidRPr="003D517D">
        <w:rPr>
          <w:rFonts w:cs="Arial"/>
        </w:rPr>
        <w:lastRenderedPageBreak/>
        <w:t xml:space="preserve">and posting on </w:t>
      </w:r>
      <w:r w:rsidR="003F303C">
        <w:rPr>
          <w:rFonts w:cs="Arial"/>
        </w:rPr>
        <w:t>the Department</w:t>
      </w:r>
      <w:r w:rsidR="003F303C" w:rsidRPr="003D517D">
        <w:rPr>
          <w:rFonts w:cs="Arial"/>
        </w:rPr>
        <w:t xml:space="preserve">’s </w:t>
      </w:r>
      <w:r w:rsidRPr="003D517D">
        <w:rPr>
          <w:rFonts w:cs="Arial"/>
        </w:rPr>
        <w:t>website).</w:t>
      </w:r>
      <w:r w:rsidR="0024378B">
        <w:rPr>
          <w:rFonts w:cs="Arial"/>
        </w:rPr>
        <w:t xml:space="preserve"> </w:t>
      </w:r>
      <w:r w:rsidRPr="003D517D">
        <w:rPr>
          <w:rFonts w:cs="Arial"/>
        </w:rPr>
        <w:t xml:space="preserve"> Copies of the CAPER Public Notices are included with the CAPER at: </w:t>
      </w:r>
      <w:hyperlink r:id="rId39" w:history="1">
        <w:r w:rsidR="003418FB" w:rsidRPr="003418FB">
          <w:rPr>
            <w:rStyle w:val="Hyperlink"/>
            <w:rFonts w:cs="Arial"/>
            <w:color w:val="3333FF"/>
          </w:rPr>
          <w:t>http://www.hcd.ca.gov/policy-research/plans-reports/index.shtml</w:t>
        </w:r>
      </w:hyperlink>
      <w:r w:rsidR="003418FB">
        <w:rPr>
          <w:rFonts w:cs="Arial"/>
        </w:rPr>
        <w:t xml:space="preserve">.  </w:t>
      </w:r>
      <w:r w:rsidRPr="003D517D">
        <w:rPr>
          <w:rFonts w:cs="Arial"/>
        </w:rPr>
        <w:t xml:space="preserve">The </w:t>
      </w:r>
      <w:r w:rsidR="00F438FF">
        <w:rPr>
          <w:rFonts w:cs="Arial"/>
        </w:rPr>
        <w:t xml:space="preserve">public comment period </w:t>
      </w:r>
      <w:r w:rsidR="00F97EB5">
        <w:rPr>
          <w:rFonts w:cs="Arial"/>
        </w:rPr>
        <w:t xml:space="preserve">runs from </w:t>
      </w:r>
      <w:r w:rsidR="00002BCB">
        <w:rPr>
          <w:rFonts w:cs="Arial"/>
          <w:b/>
        </w:rPr>
        <w:t>Wednesday</w:t>
      </w:r>
      <w:r w:rsidR="00F97EB5" w:rsidRPr="00542C87">
        <w:rPr>
          <w:rFonts w:cs="Arial"/>
          <w:b/>
        </w:rPr>
        <w:t xml:space="preserve">, September </w:t>
      </w:r>
      <w:r w:rsidR="00002BCB">
        <w:rPr>
          <w:rFonts w:cs="Arial"/>
          <w:b/>
        </w:rPr>
        <w:t xml:space="preserve">13 </w:t>
      </w:r>
      <w:r w:rsidR="00F97EB5" w:rsidRPr="00542C87">
        <w:rPr>
          <w:rFonts w:cs="Arial"/>
          <w:b/>
        </w:rPr>
        <w:t xml:space="preserve">through Wednesday, September </w:t>
      </w:r>
      <w:r w:rsidR="00E245AB">
        <w:rPr>
          <w:rFonts w:cs="Arial"/>
          <w:b/>
        </w:rPr>
        <w:t>2</w:t>
      </w:r>
      <w:r w:rsidR="00002BCB">
        <w:rPr>
          <w:rFonts w:cs="Arial"/>
          <w:b/>
        </w:rPr>
        <w:t>7</w:t>
      </w:r>
      <w:bookmarkStart w:id="5" w:name="_GoBack"/>
      <w:bookmarkEnd w:id="5"/>
      <w:r w:rsidRPr="00542C87">
        <w:rPr>
          <w:rFonts w:cs="Arial"/>
          <w:b/>
        </w:rPr>
        <w:t>.</w:t>
      </w:r>
      <w:r w:rsidR="00542C87">
        <w:rPr>
          <w:rFonts w:cs="Arial"/>
          <w:b/>
        </w:rPr>
        <w:t xml:space="preserve">  </w:t>
      </w:r>
      <w:r w:rsidR="00542C87" w:rsidRPr="00542C87">
        <w:rPr>
          <w:rFonts w:cs="Arial"/>
        </w:rPr>
        <w:t>All comments are due to the Department by</w:t>
      </w:r>
      <w:r w:rsidR="003418FB">
        <w:rPr>
          <w:rFonts w:cs="Arial"/>
          <w:b/>
        </w:rPr>
        <w:t xml:space="preserve"> Tuesday</w:t>
      </w:r>
      <w:r w:rsidR="00542C87">
        <w:rPr>
          <w:rFonts w:cs="Arial"/>
          <w:b/>
        </w:rPr>
        <w:t xml:space="preserve">, September </w:t>
      </w:r>
      <w:r w:rsidR="00F438FF">
        <w:rPr>
          <w:rFonts w:cs="Arial"/>
          <w:b/>
        </w:rPr>
        <w:t>2</w:t>
      </w:r>
      <w:r w:rsidR="003418FB">
        <w:rPr>
          <w:rFonts w:cs="Arial"/>
          <w:b/>
        </w:rPr>
        <w:t>6</w:t>
      </w:r>
      <w:r w:rsidR="00542C87">
        <w:rPr>
          <w:rFonts w:cs="Arial"/>
          <w:b/>
        </w:rPr>
        <w:t>, 2017 at 5:00 pm.</w:t>
      </w:r>
      <w:r w:rsidR="003418FB">
        <w:rPr>
          <w:rFonts w:cs="Arial"/>
          <w:b/>
        </w:rPr>
        <w:t xml:space="preserve">  </w:t>
      </w:r>
      <w:r w:rsidR="003418FB">
        <w:rPr>
          <w:rFonts w:cs="Arial"/>
        </w:rPr>
        <w:t xml:space="preserve">The Department will also be holding a public hearing on </w:t>
      </w:r>
      <w:r w:rsidR="003418FB" w:rsidRPr="003418FB">
        <w:rPr>
          <w:rFonts w:cs="Arial"/>
          <w:b/>
        </w:rPr>
        <w:t>Friday, September 22, 1:30 – 4:30 p.m.</w:t>
      </w:r>
      <w:r w:rsidR="003418FB">
        <w:rPr>
          <w:rFonts w:cs="Arial"/>
        </w:rPr>
        <w:t xml:space="preserve"> </w:t>
      </w:r>
    </w:p>
    <w:p w14:paraId="1D13048E" w14:textId="77777777" w:rsidR="00D53273" w:rsidRPr="003D517D" w:rsidRDefault="00D53273" w:rsidP="00F64F77">
      <w:pPr>
        <w:widowControl w:val="0"/>
        <w:spacing w:before="100" w:beforeAutospacing="1" w:after="100" w:afterAutospacing="1"/>
        <w:rPr>
          <w:rFonts w:cs="Arial"/>
        </w:rPr>
      </w:pPr>
      <w:r w:rsidRPr="003D517D">
        <w:rPr>
          <w:rFonts w:cs="Arial"/>
        </w:rPr>
        <w:t xml:space="preserve">In addition to comments received through public hearings, the </w:t>
      </w:r>
      <w:r w:rsidR="003F303C">
        <w:rPr>
          <w:rFonts w:cs="Arial"/>
        </w:rPr>
        <w:t xml:space="preserve">Department </w:t>
      </w:r>
      <w:r w:rsidRPr="003D517D">
        <w:rPr>
          <w:rFonts w:cs="Arial"/>
        </w:rPr>
        <w:t xml:space="preserve">will accept public comments in any form convenient to the public, including through written responses, facsimile, and e-mail. The </w:t>
      </w:r>
      <w:r w:rsidR="008C5148" w:rsidRPr="003D517D">
        <w:rPr>
          <w:rFonts w:cs="Arial"/>
        </w:rPr>
        <w:t xml:space="preserve">state </w:t>
      </w:r>
      <w:r w:rsidRPr="003D517D">
        <w:rPr>
          <w:rFonts w:cs="Arial"/>
        </w:rPr>
        <w:t xml:space="preserve">will consider all comments and </w:t>
      </w:r>
      <w:r w:rsidR="003F303C">
        <w:rPr>
          <w:rFonts w:cs="Arial"/>
        </w:rPr>
        <w:t xml:space="preserve">respond to comments </w:t>
      </w:r>
      <w:r w:rsidRPr="003D517D">
        <w:rPr>
          <w:rFonts w:cs="Arial"/>
        </w:rPr>
        <w:t>received in writing or orally at public hearings in the CAPER. </w:t>
      </w:r>
    </w:p>
    <w:p w14:paraId="7DA27367" w14:textId="77777777" w:rsidR="00757E30" w:rsidRPr="003D517D" w:rsidRDefault="00757E30" w:rsidP="00757E30">
      <w:pPr>
        <w:pStyle w:val="Default"/>
        <w:rPr>
          <w:rFonts w:ascii="Arial" w:hAnsi="Arial" w:cs="Arial"/>
          <w:color w:val="auto"/>
        </w:rPr>
      </w:pPr>
    </w:p>
    <w:p w14:paraId="5C3242FB" w14:textId="77777777" w:rsidR="00757E30" w:rsidRPr="003D517D" w:rsidRDefault="00DF6F3D" w:rsidP="00DF6F3D">
      <w:pPr>
        <w:rPr>
          <w:rFonts w:cs="Arial"/>
          <w:szCs w:val="24"/>
        </w:rPr>
      </w:pPr>
      <w:r w:rsidRPr="003D517D">
        <w:rPr>
          <w:rFonts w:cs="Arial"/>
        </w:rPr>
        <w:br w:type="page"/>
      </w:r>
    </w:p>
    <w:p w14:paraId="0F408E19" w14:textId="77777777" w:rsidR="00757E30" w:rsidRPr="00757E30" w:rsidRDefault="00757E30" w:rsidP="00757E30">
      <w:pPr>
        <w:pStyle w:val="Default"/>
        <w:jc w:val="center"/>
        <w:rPr>
          <w:b/>
          <w:bCs/>
          <w:sz w:val="28"/>
          <w:szCs w:val="32"/>
        </w:rPr>
      </w:pPr>
    </w:p>
    <w:p w14:paraId="3A9812AC" w14:textId="77777777" w:rsidR="00757E30" w:rsidRPr="00936F6D" w:rsidRDefault="00757E30" w:rsidP="00757E30">
      <w:pPr>
        <w:pStyle w:val="Default"/>
        <w:jc w:val="center"/>
        <w:rPr>
          <w:rFonts w:ascii="Arial" w:hAnsi="Arial" w:cs="Arial"/>
          <w:b/>
          <w:bCs/>
          <w:color w:val="335375" w:themeColor="accent3" w:themeShade="BF"/>
          <w:sz w:val="28"/>
          <w:szCs w:val="32"/>
          <w:u w:val="single"/>
        </w:rPr>
      </w:pPr>
      <w:r w:rsidRPr="00936F6D">
        <w:rPr>
          <w:rFonts w:ascii="Arial" w:hAnsi="Arial" w:cs="Arial"/>
          <w:b/>
          <w:bCs/>
          <w:color w:val="335375" w:themeColor="accent3" w:themeShade="BF"/>
          <w:sz w:val="28"/>
          <w:szCs w:val="32"/>
          <w:u w:val="single"/>
        </w:rPr>
        <w:t>CR-45 CDBG (CDBG grantees only)</w:t>
      </w:r>
    </w:p>
    <w:p w14:paraId="77113629" w14:textId="77777777" w:rsidR="00757E30" w:rsidRPr="00757E30" w:rsidRDefault="00757E30" w:rsidP="00757E30">
      <w:pPr>
        <w:pStyle w:val="Default"/>
        <w:jc w:val="center"/>
        <w:rPr>
          <w:rFonts w:ascii="Arial" w:hAnsi="Arial" w:cs="Arial"/>
          <w:sz w:val="28"/>
          <w:szCs w:val="32"/>
        </w:rPr>
      </w:pPr>
    </w:p>
    <w:p w14:paraId="6A57AF63" w14:textId="77777777" w:rsidR="00757E30" w:rsidRPr="00936F6D" w:rsidRDefault="00757E30" w:rsidP="00757E30">
      <w:pPr>
        <w:pStyle w:val="Default"/>
        <w:rPr>
          <w:rFonts w:ascii="Arial" w:hAnsi="Arial" w:cs="Arial"/>
          <w:i/>
          <w:color w:val="87A9CB" w:themeColor="accent3" w:themeTint="99"/>
          <w:sz w:val="22"/>
          <w:szCs w:val="22"/>
        </w:rPr>
      </w:pPr>
      <w:r w:rsidRPr="00936F6D">
        <w:rPr>
          <w:rFonts w:ascii="Arial" w:hAnsi="Arial" w:cs="Arial"/>
          <w:i/>
          <w:color w:val="87A9CB" w:themeColor="accent3" w:themeTint="99"/>
          <w:sz w:val="22"/>
          <w:szCs w:val="22"/>
        </w:rPr>
        <w:t>Regulation Citation(s): 24 CFR 91.520(d)</w:t>
      </w:r>
    </w:p>
    <w:p w14:paraId="40F069C4" w14:textId="77777777" w:rsidR="00757E30" w:rsidRDefault="00757E30" w:rsidP="00757E30">
      <w:pPr>
        <w:pStyle w:val="Default"/>
        <w:rPr>
          <w:rFonts w:ascii="Arial" w:hAnsi="Arial" w:cs="Arial"/>
          <w:i/>
          <w:sz w:val="22"/>
          <w:szCs w:val="22"/>
        </w:rPr>
      </w:pPr>
    </w:p>
    <w:p w14:paraId="62166742" w14:textId="77777777" w:rsidR="00757E30" w:rsidRDefault="00757E30" w:rsidP="00757E30">
      <w:pPr>
        <w:pStyle w:val="Default"/>
        <w:rPr>
          <w:rFonts w:ascii="Arial" w:hAnsi="Arial" w:cs="Arial"/>
        </w:rPr>
      </w:pPr>
    </w:p>
    <w:p w14:paraId="10842DC4" w14:textId="77777777" w:rsidR="00D53273" w:rsidRPr="00473271" w:rsidRDefault="00D53273" w:rsidP="00D53273">
      <w:pPr>
        <w:widowControl w:val="0"/>
        <w:rPr>
          <w:b/>
          <w:szCs w:val="24"/>
          <w:u w:val="single"/>
        </w:rPr>
      </w:pPr>
      <w:r w:rsidRPr="00473271">
        <w:rPr>
          <w:b/>
          <w:szCs w:val="24"/>
          <w:u w:val="single"/>
        </w:rPr>
        <w:t>Specify the nature of, and reasons for, any changes in the jurisdiction’s program objectives and indications of how the jurisdiction would change its programs as a result of its experiences.</w:t>
      </w:r>
    </w:p>
    <w:p w14:paraId="39DC6310" w14:textId="77777777" w:rsidR="00C92F7C" w:rsidRPr="00C92F7C" w:rsidRDefault="00C92F7C" w:rsidP="00C92F7C">
      <w:pPr>
        <w:widowControl w:val="0"/>
        <w:spacing w:before="100" w:beforeAutospacing="1" w:after="100" w:afterAutospacing="1"/>
        <w:rPr>
          <w:rFonts w:cs="Arial"/>
        </w:rPr>
      </w:pPr>
      <w:r w:rsidRPr="00C92F7C">
        <w:rPr>
          <w:rFonts w:cs="Arial"/>
        </w:rPr>
        <w:t>To address concerns raised by the United States (US) Department of Housing and Urban Development (HUD) and the California State Legislature regarding California’s Community Development Block Grant (CDBG) Program, the State Department of Housing and Community Development (</w:t>
      </w:r>
      <w:r>
        <w:rPr>
          <w:rFonts w:cs="Arial"/>
        </w:rPr>
        <w:t>the Department</w:t>
      </w:r>
      <w:r w:rsidRPr="00C92F7C">
        <w:rPr>
          <w:rFonts w:cs="Arial"/>
        </w:rPr>
        <w:t xml:space="preserve">) is initiating a process to redesign the CDBG Program.  The purpose of the Redesign is to streamline </w:t>
      </w:r>
      <w:r>
        <w:rPr>
          <w:rFonts w:cs="Arial"/>
        </w:rPr>
        <w:t>the Department</w:t>
      </w:r>
      <w:r w:rsidRPr="00C92F7C">
        <w:rPr>
          <w:rFonts w:cs="Arial"/>
        </w:rPr>
        <w:t xml:space="preserve"> workload to reflect budgetary shortages, address low expenditure rates and high levels of unspent Program Income (PI),1 and meet federal requirements while ensuring the program is effectively serving the needs of California’s rural and non-entitlement communities in line with national best practices and </w:t>
      </w:r>
      <w:r>
        <w:rPr>
          <w:rFonts w:cs="Arial"/>
        </w:rPr>
        <w:t>s</w:t>
      </w:r>
      <w:r w:rsidRPr="00C92F7C">
        <w:rPr>
          <w:rFonts w:cs="Arial"/>
        </w:rPr>
        <w:t xml:space="preserve">tate priorities.  </w:t>
      </w:r>
    </w:p>
    <w:p w14:paraId="56D132C1" w14:textId="77777777" w:rsidR="00C92F7C" w:rsidRDefault="00C92F7C" w:rsidP="00C92F7C">
      <w:pPr>
        <w:widowControl w:val="0"/>
        <w:spacing w:before="100" w:beforeAutospacing="1" w:after="100" w:afterAutospacing="1"/>
        <w:rPr>
          <w:rFonts w:cs="Arial"/>
        </w:rPr>
      </w:pPr>
      <w:r w:rsidRPr="00C92F7C">
        <w:rPr>
          <w:rFonts w:cs="Arial"/>
        </w:rPr>
        <w:t xml:space="preserve">The 2017 CDBG Redesign will be undertaken in partnership with the CDBG Advisory Committee and a broad array of other stakeholders over the next 12 months and will coincide with technical assistance (TA) provided by HUD to assess California’s CDBG program and make recommendations to improve the program and ensure compliance with federal requirements.  Additionally, the CDBG Redesign will address the issues raised in the Budget Trailer Bill, SB 106,2 which expressed legislative intent for improving the CDBG program and directed HCD to engage in specific activities to address stakeholder concerns.  The result of this Program Redesign process will be the development of new CDBG Program Guidelines.  Upon completion of the new guidelines, they will be submitted to the Department of Finance (DOF) for approval and the Joint Legislative Budget Committee of the California Legislature (JLBC) will be notified before adoption. </w:t>
      </w:r>
    </w:p>
    <w:p w14:paraId="3294FD11" w14:textId="77777777" w:rsidR="00C92F7C" w:rsidRDefault="00C92F7C" w:rsidP="00C92F7C">
      <w:pPr>
        <w:widowControl w:val="0"/>
        <w:spacing w:before="100" w:beforeAutospacing="1" w:after="100" w:afterAutospacing="1"/>
        <w:rPr>
          <w:rFonts w:cs="Arial"/>
        </w:rPr>
      </w:pPr>
      <w:r>
        <w:rPr>
          <w:rFonts w:cs="Arial"/>
        </w:rPr>
        <w:t>C</w:t>
      </w:r>
      <w:r w:rsidRPr="00C92F7C">
        <w:rPr>
          <w:rFonts w:cs="Arial"/>
        </w:rPr>
        <w:t xml:space="preserve">oncurrent with the work of </w:t>
      </w:r>
      <w:r>
        <w:rPr>
          <w:rFonts w:cs="Arial"/>
        </w:rPr>
        <w:t>the CDBG Redesign</w:t>
      </w:r>
      <w:r w:rsidRPr="00C92F7C">
        <w:rPr>
          <w:rFonts w:cs="Arial"/>
        </w:rPr>
        <w:t xml:space="preserve">, </w:t>
      </w:r>
      <w:r>
        <w:rPr>
          <w:rFonts w:cs="Arial"/>
        </w:rPr>
        <w:t>the Department</w:t>
      </w:r>
      <w:r w:rsidRPr="00C92F7C">
        <w:rPr>
          <w:rFonts w:cs="Arial"/>
        </w:rPr>
        <w:t xml:space="preserve"> will be receiving technical assistance (TA) from a HUD-authorized provider tasked with assisting it in identifying fiscal and programmatic changes that will improve the expenditure rate, reduce the amount of PI on hand, and improve the overall efficiency and effectiveness of the CDBG Program.  One specific task </w:t>
      </w:r>
      <w:r>
        <w:rPr>
          <w:rFonts w:cs="Arial"/>
        </w:rPr>
        <w:t>the Department</w:t>
      </w:r>
      <w:r w:rsidRPr="00C92F7C">
        <w:rPr>
          <w:rFonts w:cs="Arial"/>
        </w:rPr>
        <w:t xml:space="preserve"> has requested the TA provider to assist with is identifying places in which the federal program requirements and </w:t>
      </w:r>
      <w:r>
        <w:rPr>
          <w:rFonts w:cs="Arial"/>
        </w:rPr>
        <w:t>s</w:t>
      </w:r>
      <w:r w:rsidRPr="00C92F7C">
        <w:rPr>
          <w:rFonts w:cs="Arial"/>
        </w:rPr>
        <w:t>tate program requirements differ, and where there is room for improvement in aligning these requirements.</w:t>
      </w:r>
    </w:p>
    <w:p w14:paraId="18BD3EAF" w14:textId="77777777" w:rsidR="00D53273" w:rsidRPr="00473271" w:rsidRDefault="00D53273" w:rsidP="000437F5">
      <w:pPr>
        <w:widowControl w:val="0"/>
        <w:spacing w:before="100" w:beforeAutospacing="1" w:after="100" w:afterAutospacing="1"/>
        <w:rPr>
          <w:rFonts w:cs="Arial"/>
        </w:rPr>
      </w:pPr>
      <w:r w:rsidRPr="00473271">
        <w:rPr>
          <w:rFonts w:cs="Arial"/>
        </w:rPr>
        <w:t xml:space="preserve">As is stated in federal statute, </w:t>
      </w:r>
      <w:r w:rsidRPr="00473271">
        <w:rPr>
          <w:rFonts w:cs="Arial"/>
          <w:i/>
        </w:rPr>
        <w:t xml:space="preserve">the local jurisdictions know best </w:t>
      </w:r>
      <w:r w:rsidR="00CF1266" w:rsidRPr="00473271">
        <w:rPr>
          <w:rFonts w:cs="Arial"/>
          <w:i/>
        </w:rPr>
        <w:t>that</w:t>
      </w:r>
      <w:r w:rsidRPr="00473271">
        <w:rPr>
          <w:rFonts w:cs="Arial"/>
          <w:i/>
        </w:rPr>
        <w:t xml:space="preserve"> their greatest needs are</w:t>
      </w:r>
      <w:r w:rsidR="00941A01">
        <w:rPr>
          <w:rFonts w:cs="Arial"/>
        </w:rPr>
        <w:t>. T</w:t>
      </w:r>
      <w:r w:rsidRPr="00473271">
        <w:rPr>
          <w:rFonts w:cs="Arial"/>
        </w:rPr>
        <w:t>he Department</w:t>
      </w:r>
      <w:r w:rsidR="00941A01">
        <w:rPr>
          <w:rFonts w:cs="Arial"/>
        </w:rPr>
        <w:t>’s</w:t>
      </w:r>
      <w:r w:rsidRPr="00473271">
        <w:rPr>
          <w:rFonts w:cs="Arial"/>
        </w:rPr>
        <w:t xml:space="preserve"> objective is to facilitate CDBG funding to meet those needs in manner consistent and compliant with CDBG statute and regulation. </w:t>
      </w:r>
      <w:r w:rsidR="00473271">
        <w:rPr>
          <w:rFonts w:cs="Arial"/>
        </w:rPr>
        <w:t xml:space="preserve"> </w:t>
      </w:r>
      <w:r w:rsidRPr="00473271">
        <w:rPr>
          <w:rFonts w:cs="Arial"/>
        </w:rPr>
        <w:t xml:space="preserve">Overall, the </w:t>
      </w:r>
      <w:r w:rsidR="008C5148" w:rsidRPr="00473271">
        <w:rPr>
          <w:rFonts w:cs="Arial"/>
        </w:rPr>
        <w:t xml:space="preserve">state’s </w:t>
      </w:r>
      <w:r w:rsidRPr="00473271">
        <w:rPr>
          <w:rFonts w:cs="Arial"/>
        </w:rPr>
        <w:t xml:space="preserve">local </w:t>
      </w:r>
      <w:r w:rsidRPr="00473271">
        <w:rPr>
          <w:rFonts w:cs="Arial"/>
        </w:rPr>
        <w:lastRenderedPageBreak/>
        <w:t xml:space="preserve">jurisdictions tend to </w:t>
      </w:r>
      <w:r w:rsidR="00941A01">
        <w:rPr>
          <w:rFonts w:cs="Arial"/>
        </w:rPr>
        <w:t>apply for</w:t>
      </w:r>
      <w:r w:rsidR="00941A01" w:rsidRPr="00473271">
        <w:rPr>
          <w:rFonts w:cs="Arial"/>
        </w:rPr>
        <w:t xml:space="preserve"> </w:t>
      </w:r>
      <w:r w:rsidRPr="00473271">
        <w:rPr>
          <w:rFonts w:cs="Arial"/>
        </w:rPr>
        <w:t>housing, public infrastructure and public services. </w:t>
      </w:r>
      <w:r w:rsidR="00473271">
        <w:rPr>
          <w:rFonts w:cs="Arial"/>
        </w:rPr>
        <w:t xml:space="preserve"> </w:t>
      </w:r>
      <w:r w:rsidRPr="00473271">
        <w:rPr>
          <w:rFonts w:cs="Arial"/>
        </w:rPr>
        <w:t>There are a handful of jurisdictions with robust economic development programs, which are focal in their utilization of CDBG funding.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61"/>
        <w:gridCol w:w="2629"/>
      </w:tblGrid>
      <w:tr w:rsidR="00D53273" w:rsidRPr="00473271" w14:paraId="38EA9A7A" w14:textId="77777777" w:rsidTr="00592B04">
        <w:trPr>
          <w:cantSplit/>
        </w:trPr>
        <w:tc>
          <w:tcPr>
            <w:tcW w:w="7838" w:type="dxa"/>
          </w:tcPr>
          <w:p w14:paraId="2F1A7A52" w14:textId="77777777" w:rsidR="00D53273" w:rsidRPr="00473271" w:rsidRDefault="00D53273" w:rsidP="00592B04">
            <w:pPr>
              <w:widowControl w:val="0"/>
              <w:spacing w:after="0" w:line="240" w:lineRule="auto"/>
              <w:rPr>
                <w:rFonts w:cs="Arial"/>
              </w:rPr>
            </w:pPr>
            <w:r w:rsidRPr="00473271">
              <w:rPr>
                <w:b/>
                <w:szCs w:val="24"/>
              </w:rPr>
              <w:t>Does this Jurisdiction have any open Brownfields Economic Development Initiative (BEDI) grants?</w:t>
            </w:r>
          </w:p>
        </w:tc>
        <w:tc>
          <w:tcPr>
            <w:tcW w:w="1752" w:type="dxa"/>
          </w:tcPr>
          <w:p w14:paraId="25D35EDA" w14:textId="77777777" w:rsidR="00D53273" w:rsidRPr="00473271" w:rsidRDefault="00D53273" w:rsidP="00592B04">
            <w:pPr>
              <w:widowControl w:val="0"/>
              <w:spacing w:beforeAutospacing="1" w:afterAutospacing="1"/>
              <w:rPr>
                <w:rFonts w:cs="Arial"/>
              </w:rPr>
            </w:pPr>
            <w:r w:rsidRPr="00473271">
              <w:rPr>
                <w:rFonts w:cs="Arial"/>
              </w:rPr>
              <w:t>No</w:t>
            </w:r>
          </w:p>
        </w:tc>
      </w:tr>
    </w:tbl>
    <w:p w14:paraId="1B350686" w14:textId="77777777" w:rsidR="00D53273" w:rsidRPr="00473271" w:rsidRDefault="00D53273" w:rsidP="00D53273">
      <w:pPr>
        <w:widowControl w:val="0"/>
        <w:rPr>
          <w:b/>
          <w:szCs w:val="24"/>
        </w:rPr>
      </w:pPr>
    </w:p>
    <w:p w14:paraId="5C48121A" w14:textId="77777777" w:rsidR="00D53273" w:rsidRPr="00473271" w:rsidRDefault="00D53273" w:rsidP="00D53273">
      <w:pPr>
        <w:widowControl w:val="0"/>
        <w:rPr>
          <w:b/>
          <w:szCs w:val="24"/>
        </w:rPr>
      </w:pPr>
      <w:r w:rsidRPr="00473271">
        <w:rPr>
          <w:b/>
          <w:szCs w:val="24"/>
        </w:rPr>
        <w:t>[BEDI grantees]  Describe accomplishments and program outcomes during the last year.</w:t>
      </w:r>
    </w:p>
    <w:p w14:paraId="53EB5DF7" w14:textId="77777777" w:rsidR="00F64F77" w:rsidRDefault="00F64F77" w:rsidP="00757E30">
      <w:pPr>
        <w:pStyle w:val="Default"/>
        <w:jc w:val="center"/>
        <w:rPr>
          <w:rFonts w:ascii="Arial" w:hAnsi="Arial" w:cs="Arial"/>
          <w:b/>
          <w:color w:val="335375" w:themeColor="accent3" w:themeShade="BF"/>
          <w:sz w:val="28"/>
        </w:rPr>
      </w:pPr>
    </w:p>
    <w:p w14:paraId="0780A380" w14:textId="77777777" w:rsidR="00F64F77" w:rsidRPr="00F64F77" w:rsidRDefault="00F64F77" w:rsidP="00F64F77">
      <w:pPr>
        <w:rPr>
          <w:rFonts w:cs="Arial"/>
          <w:b/>
          <w:color w:val="335375" w:themeColor="accent3" w:themeShade="BF"/>
          <w:sz w:val="28"/>
          <w:szCs w:val="24"/>
        </w:rPr>
      </w:pPr>
      <w:r>
        <w:rPr>
          <w:rFonts w:cs="Arial"/>
          <w:b/>
          <w:color w:val="335375" w:themeColor="accent3" w:themeShade="BF"/>
          <w:sz w:val="28"/>
        </w:rPr>
        <w:br w:type="page"/>
      </w:r>
    </w:p>
    <w:p w14:paraId="6D0D2603" w14:textId="77777777" w:rsidR="00757E30" w:rsidRPr="00F64F77" w:rsidRDefault="00757E30" w:rsidP="00AE79C4">
      <w:pPr>
        <w:jc w:val="center"/>
        <w:rPr>
          <w:rFonts w:cs="Arial"/>
          <w:b/>
          <w:color w:val="335375" w:themeColor="accent3" w:themeShade="BF"/>
          <w:sz w:val="28"/>
          <w:szCs w:val="24"/>
        </w:rPr>
      </w:pPr>
      <w:r w:rsidRPr="002E4D24">
        <w:rPr>
          <w:rFonts w:cs="Arial"/>
          <w:b/>
          <w:color w:val="335375" w:themeColor="accent3" w:themeShade="BF"/>
          <w:sz w:val="28"/>
        </w:rPr>
        <w:lastRenderedPageBreak/>
        <w:t>CR-50 HOME (HOME grantees only)</w:t>
      </w:r>
    </w:p>
    <w:p w14:paraId="2C7829FE" w14:textId="77777777" w:rsidR="00757E30" w:rsidRPr="00F64F77" w:rsidRDefault="00757E30" w:rsidP="00757E30">
      <w:pPr>
        <w:pStyle w:val="Default"/>
        <w:rPr>
          <w:rFonts w:ascii="Arial" w:hAnsi="Arial" w:cs="Arial"/>
          <w:i/>
          <w:color w:val="87A9CB" w:themeColor="accent3" w:themeTint="99"/>
          <w:sz w:val="22"/>
        </w:rPr>
      </w:pPr>
      <w:r w:rsidRPr="00F64F77">
        <w:rPr>
          <w:rFonts w:ascii="Arial" w:hAnsi="Arial" w:cs="Arial"/>
          <w:i/>
          <w:color w:val="87A9CB" w:themeColor="accent3" w:themeTint="99"/>
          <w:sz w:val="22"/>
        </w:rPr>
        <w:t>Regulation Citation(s): 24 CFR 91.520(e)</w:t>
      </w:r>
    </w:p>
    <w:p w14:paraId="18EFB424" w14:textId="77777777" w:rsidR="00757E30" w:rsidRPr="002E4D24" w:rsidRDefault="00757E30" w:rsidP="00757E30">
      <w:pPr>
        <w:pStyle w:val="Default"/>
        <w:rPr>
          <w:rFonts w:ascii="Arial" w:hAnsi="Arial" w:cs="Arial"/>
          <w:i/>
          <w:color w:val="335375" w:themeColor="accent3" w:themeShade="BF"/>
          <w:sz w:val="22"/>
        </w:rPr>
      </w:pPr>
    </w:p>
    <w:p w14:paraId="3EDE8BC4" w14:textId="77777777" w:rsidR="00D53273" w:rsidRPr="00CF1266" w:rsidRDefault="00D53273" w:rsidP="00D53273">
      <w:pPr>
        <w:widowControl w:val="0"/>
        <w:rPr>
          <w:color w:val="0000FF"/>
          <w:szCs w:val="24"/>
          <w:u w:val="single"/>
        </w:rPr>
      </w:pPr>
      <w:r w:rsidRPr="002E4D24">
        <w:rPr>
          <w:szCs w:val="24"/>
          <w:u w:val="single"/>
        </w:rPr>
        <w:t xml:space="preserve">Provide an assessment of the jurisdiction's affirmative marketing actions for HOME units. </w:t>
      </w:r>
      <w:hyperlink r:id="rId40" w:history="1">
        <w:r w:rsidR="00CF1266" w:rsidRPr="00CF1266">
          <w:rPr>
            <w:rStyle w:val="Hyperlink"/>
            <w:color w:val="0000FF"/>
            <w:szCs w:val="24"/>
          </w:rPr>
          <w:t xml:space="preserve">24 CFR </w:t>
        </w:r>
        <w:r w:rsidRPr="00CF1266">
          <w:rPr>
            <w:rStyle w:val="Hyperlink"/>
            <w:color w:val="0000FF"/>
            <w:szCs w:val="24"/>
          </w:rPr>
          <w:t>92.351(b)</w:t>
        </w:r>
      </w:hyperlink>
    </w:p>
    <w:p w14:paraId="7AA4AB00" w14:textId="3E0DD745" w:rsidR="00D53273" w:rsidRPr="00473271" w:rsidRDefault="00D53273" w:rsidP="00F64F77">
      <w:pPr>
        <w:widowControl w:val="0"/>
        <w:spacing w:before="100" w:beforeAutospacing="1" w:after="100" w:afterAutospacing="1"/>
        <w:rPr>
          <w:rFonts w:cs="Arial"/>
        </w:rPr>
      </w:pPr>
      <w:r w:rsidRPr="00473271">
        <w:rPr>
          <w:rFonts w:cs="Arial"/>
          <w:b/>
          <w:u w:val="single"/>
        </w:rPr>
        <w:t>New construction and rehabilitation rental project activities:</w:t>
      </w:r>
      <w:r w:rsidRPr="00473271">
        <w:rPr>
          <w:rFonts w:cs="Arial"/>
        </w:rPr>
        <w:t xml:space="preserve"> </w:t>
      </w:r>
      <w:r w:rsidR="008B4DF9">
        <w:rPr>
          <w:rFonts w:cs="Arial"/>
        </w:rPr>
        <w:t xml:space="preserve"> </w:t>
      </w:r>
      <w:r w:rsidRPr="00473271">
        <w:rPr>
          <w:rFonts w:cs="Arial"/>
        </w:rPr>
        <w:t xml:space="preserve">For these activities, the </w:t>
      </w:r>
      <w:r w:rsidR="00680D31">
        <w:rPr>
          <w:rFonts w:cs="Arial"/>
        </w:rPr>
        <w:t>Department</w:t>
      </w:r>
      <w:r w:rsidR="00680D31" w:rsidRPr="00473271">
        <w:rPr>
          <w:rFonts w:cs="Arial"/>
        </w:rPr>
        <w:t xml:space="preserve"> </w:t>
      </w:r>
      <w:r w:rsidRPr="00473271">
        <w:rPr>
          <w:rFonts w:cs="Arial"/>
        </w:rPr>
        <w:t>uses the</w:t>
      </w:r>
      <w:r w:rsidR="001D6CB5">
        <w:rPr>
          <w:rFonts w:cs="Arial"/>
        </w:rPr>
        <w:t xml:space="preserve"> U</w:t>
      </w:r>
      <w:r w:rsidR="00680D31">
        <w:rPr>
          <w:rFonts w:cs="Arial"/>
        </w:rPr>
        <w:t>.</w:t>
      </w:r>
      <w:r w:rsidR="001D6CB5">
        <w:rPr>
          <w:rFonts w:cs="Arial"/>
        </w:rPr>
        <w:t>S</w:t>
      </w:r>
      <w:r w:rsidR="00680D31">
        <w:rPr>
          <w:rFonts w:cs="Arial"/>
        </w:rPr>
        <w:t>.</w:t>
      </w:r>
      <w:r w:rsidR="001D6CB5">
        <w:rPr>
          <w:rFonts w:cs="Arial"/>
        </w:rPr>
        <w:t xml:space="preserve"> Department of Housing and Urban Development</w:t>
      </w:r>
      <w:r w:rsidRPr="00473271">
        <w:rPr>
          <w:rFonts w:cs="Arial"/>
        </w:rPr>
        <w:t xml:space="preserve"> </w:t>
      </w:r>
      <w:r w:rsidR="001D6CB5">
        <w:rPr>
          <w:rFonts w:cs="Arial"/>
        </w:rPr>
        <w:t>(</w:t>
      </w:r>
      <w:r w:rsidRPr="00473271">
        <w:rPr>
          <w:rFonts w:cs="Arial"/>
        </w:rPr>
        <w:t>HUD</w:t>
      </w:r>
      <w:r w:rsidR="001D6CB5">
        <w:rPr>
          <w:rFonts w:cs="Arial"/>
        </w:rPr>
        <w:t>)</w:t>
      </w:r>
      <w:r w:rsidRPr="00473271">
        <w:rPr>
          <w:rFonts w:cs="Arial"/>
        </w:rPr>
        <w:t xml:space="preserve"> Affirmative Marketing Form 935.2A to evaluate a project </w:t>
      </w:r>
      <w:r w:rsidRPr="001D6CB5">
        <w:rPr>
          <w:rFonts w:cs="Arial"/>
        </w:rPr>
        <w:t xml:space="preserve">owner’s </w:t>
      </w:r>
      <w:r w:rsidR="001D6CB5">
        <w:rPr>
          <w:rFonts w:cs="Arial"/>
        </w:rPr>
        <w:t>five</w:t>
      </w:r>
      <w:r w:rsidRPr="001D6CB5">
        <w:rPr>
          <w:rFonts w:cs="Arial"/>
        </w:rPr>
        <w:t>-year affirmative</w:t>
      </w:r>
      <w:r w:rsidRPr="00473271">
        <w:rPr>
          <w:rFonts w:cs="Arial"/>
        </w:rPr>
        <w:t xml:space="preserve"> marketing plan. </w:t>
      </w:r>
      <w:r w:rsidR="008B4DF9">
        <w:rPr>
          <w:rFonts w:cs="Arial"/>
        </w:rPr>
        <w:t xml:space="preserve"> </w:t>
      </w:r>
      <w:r w:rsidR="001D6CB5">
        <w:rPr>
          <w:rFonts w:cs="Arial"/>
        </w:rPr>
        <w:t>This</w:t>
      </w:r>
      <w:r w:rsidRPr="00473271">
        <w:rPr>
          <w:rFonts w:cs="Arial"/>
        </w:rPr>
        <w:t xml:space="preserve"> form is evaluated prior to loan closing.</w:t>
      </w:r>
      <w:r w:rsidR="008B4DF9">
        <w:rPr>
          <w:rFonts w:cs="Arial"/>
        </w:rPr>
        <w:t xml:space="preserve"> </w:t>
      </w:r>
      <w:r w:rsidRPr="00473271">
        <w:rPr>
          <w:rFonts w:cs="Arial"/>
        </w:rPr>
        <w:t xml:space="preserve"> In addition, projects must submit an annual reporting form similar to the 935.2A </w:t>
      </w:r>
      <w:r w:rsidR="001D6CB5">
        <w:rPr>
          <w:rFonts w:cs="Arial"/>
        </w:rPr>
        <w:t>that</w:t>
      </w:r>
      <w:r w:rsidRPr="00473271">
        <w:rPr>
          <w:rFonts w:cs="Arial"/>
        </w:rPr>
        <w:t xml:space="preserve"> requires owners to annually assess the effectiveness of their affirmative marketing efforts.</w:t>
      </w:r>
      <w:r w:rsidR="008B4DF9">
        <w:rPr>
          <w:rFonts w:cs="Arial"/>
        </w:rPr>
        <w:t xml:space="preserve"> </w:t>
      </w:r>
      <w:r w:rsidRPr="00473271">
        <w:rPr>
          <w:rFonts w:cs="Arial"/>
        </w:rPr>
        <w:t xml:space="preserve"> For</w:t>
      </w:r>
      <w:r w:rsidR="001D6CB5">
        <w:rPr>
          <w:rFonts w:cs="Arial"/>
        </w:rPr>
        <w:t xml:space="preserve"> the HOME Investment Partnership</w:t>
      </w:r>
      <w:r w:rsidRPr="00473271">
        <w:rPr>
          <w:rFonts w:cs="Arial"/>
        </w:rPr>
        <w:t xml:space="preserve"> </w:t>
      </w:r>
      <w:r w:rsidR="001D6CB5">
        <w:rPr>
          <w:rFonts w:cs="Arial"/>
        </w:rPr>
        <w:t>(</w:t>
      </w:r>
      <w:r w:rsidRPr="00473271">
        <w:rPr>
          <w:rFonts w:cs="Arial"/>
        </w:rPr>
        <w:t>HOME</w:t>
      </w:r>
      <w:r w:rsidR="001D6CB5">
        <w:rPr>
          <w:rFonts w:cs="Arial"/>
        </w:rPr>
        <w:t>) program First Time Home Buyer (</w:t>
      </w:r>
      <w:r w:rsidRPr="00473271">
        <w:rPr>
          <w:rFonts w:cs="Arial"/>
        </w:rPr>
        <w:t>FTHB</w:t>
      </w:r>
      <w:r w:rsidR="001D6CB5">
        <w:rPr>
          <w:rFonts w:cs="Arial"/>
        </w:rPr>
        <w:t>)</w:t>
      </w:r>
      <w:r w:rsidRPr="00473271">
        <w:rPr>
          <w:rFonts w:cs="Arial"/>
        </w:rPr>
        <w:t xml:space="preserve">, </w:t>
      </w:r>
      <w:r w:rsidR="001D6CB5">
        <w:rPr>
          <w:rFonts w:cs="Arial"/>
        </w:rPr>
        <w:t>Owner Occupied Rehabilitation (</w:t>
      </w:r>
      <w:r w:rsidRPr="00473271">
        <w:rPr>
          <w:rFonts w:cs="Arial"/>
        </w:rPr>
        <w:t>OOR</w:t>
      </w:r>
      <w:r w:rsidR="001D6CB5">
        <w:rPr>
          <w:rFonts w:cs="Arial"/>
        </w:rPr>
        <w:t>)</w:t>
      </w:r>
      <w:r w:rsidRPr="00473271">
        <w:rPr>
          <w:rFonts w:cs="Arial"/>
        </w:rPr>
        <w:t xml:space="preserve">, and </w:t>
      </w:r>
      <w:r w:rsidR="001D6CB5">
        <w:rPr>
          <w:rFonts w:cs="Arial"/>
        </w:rPr>
        <w:t>Tenant Based Rental Assistance (</w:t>
      </w:r>
      <w:r w:rsidRPr="00473271">
        <w:rPr>
          <w:rFonts w:cs="Arial"/>
        </w:rPr>
        <w:t>TBRA</w:t>
      </w:r>
      <w:r w:rsidR="001D6CB5">
        <w:rPr>
          <w:rFonts w:cs="Arial"/>
        </w:rPr>
        <w:t>)</w:t>
      </w:r>
      <w:r w:rsidRPr="00473271">
        <w:rPr>
          <w:rFonts w:cs="Arial"/>
        </w:rPr>
        <w:t xml:space="preserve"> </w:t>
      </w:r>
      <w:r w:rsidR="00AE79C4">
        <w:rPr>
          <w:rFonts w:cs="Arial"/>
        </w:rPr>
        <w:t>activities;</w:t>
      </w:r>
      <w:r w:rsidR="008B4DF9">
        <w:rPr>
          <w:rFonts w:cs="Arial"/>
        </w:rPr>
        <w:t xml:space="preserve"> HOME Recipients mus</w:t>
      </w:r>
      <w:r w:rsidR="001D6CB5">
        <w:rPr>
          <w:rFonts w:cs="Arial"/>
        </w:rPr>
        <w:t>t</w:t>
      </w:r>
      <w:r w:rsidRPr="00473271">
        <w:rPr>
          <w:rFonts w:cs="Arial"/>
        </w:rPr>
        <w:t xml:space="preserve"> complete a Demographic Analysis </w:t>
      </w:r>
      <w:r w:rsidR="001D6CB5">
        <w:rPr>
          <w:rFonts w:cs="Arial"/>
        </w:rPr>
        <w:t>f</w:t>
      </w:r>
      <w:r w:rsidRPr="00473271">
        <w:rPr>
          <w:rFonts w:cs="Arial"/>
        </w:rPr>
        <w:t xml:space="preserve">orm </w:t>
      </w:r>
      <w:r w:rsidR="001D6CB5">
        <w:rPr>
          <w:rFonts w:cs="Arial"/>
        </w:rPr>
        <w:t>that</w:t>
      </w:r>
      <w:r w:rsidRPr="00473271">
        <w:rPr>
          <w:rFonts w:cs="Arial"/>
        </w:rPr>
        <w:t xml:space="preserve"> requires them to examine the racial, ethnic, gender, age, and disabili</w:t>
      </w:r>
      <w:r w:rsidR="00C0352B">
        <w:rPr>
          <w:rFonts w:cs="Arial"/>
        </w:rPr>
        <w:t>ty Census characteristics of their</w:t>
      </w:r>
      <w:r w:rsidRPr="00473271">
        <w:rPr>
          <w:rFonts w:cs="Arial"/>
        </w:rPr>
        <w:t xml:space="preserve"> HOME jurisdiction compared to the program’s applicants, beneficiaries, rejected and wait-listed heads of household. If under-or-over-representation by more than </w:t>
      </w:r>
      <w:r w:rsidRPr="001D6CB5">
        <w:rPr>
          <w:rFonts w:cs="Arial"/>
        </w:rPr>
        <w:t>10</w:t>
      </w:r>
      <w:r w:rsidR="003C7CC1" w:rsidRPr="001D6CB5">
        <w:rPr>
          <w:rFonts w:cs="Arial"/>
        </w:rPr>
        <w:t xml:space="preserve"> percent</w:t>
      </w:r>
      <w:r w:rsidRPr="001D6CB5">
        <w:rPr>
          <w:rFonts w:cs="Arial"/>
        </w:rPr>
        <w:t xml:space="preserve"> exists</w:t>
      </w:r>
      <w:r w:rsidRPr="00473271">
        <w:rPr>
          <w:rFonts w:cs="Arial"/>
        </w:rPr>
        <w:t xml:space="preserve">, the jurisdiction must describe and implement actions to correct this imbalance. </w:t>
      </w:r>
      <w:r w:rsidR="008B4DF9">
        <w:rPr>
          <w:rFonts w:cs="Arial"/>
        </w:rPr>
        <w:t xml:space="preserve"> </w:t>
      </w:r>
      <w:r w:rsidRPr="00473271">
        <w:rPr>
          <w:rFonts w:cs="Arial"/>
        </w:rPr>
        <w:t>HOME uses these tools to monitor local activity demographics for imbalances of protected classes, and to engage property managers and local program operators in discussions about ways to address identified imbalances.</w:t>
      </w:r>
      <w:r w:rsidR="008B4DF9">
        <w:rPr>
          <w:rFonts w:cs="Arial"/>
        </w:rPr>
        <w:t xml:space="preserve"> </w:t>
      </w:r>
      <w:r w:rsidRPr="00473271">
        <w:rPr>
          <w:rFonts w:cs="Arial"/>
        </w:rPr>
        <w:t xml:space="preserve"> Over time, these imbalances are corrected or alleviated through targeted marketi</w:t>
      </w:r>
      <w:r w:rsidR="00C0352B">
        <w:rPr>
          <w:rFonts w:cs="Arial"/>
        </w:rPr>
        <w:t>ng in the local community.  See:</w:t>
      </w:r>
      <w:bookmarkStart w:id="6" w:name="_Hlk492648139"/>
      <w:r w:rsidR="003E6342" w:rsidRPr="003E6342">
        <w:rPr>
          <w:rFonts w:cs="Arial"/>
          <w:color w:val="3333FF"/>
        </w:rPr>
        <w:fldChar w:fldCharType="begin"/>
      </w:r>
      <w:r w:rsidR="003E6342" w:rsidRPr="003E6342">
        <w:rPr>
          <w:rFonts w:cs="Arial"/>
          <w:color w:val="3333FF"/>
        </w:rPr>
        <w:instrText xml:space="preserve"> HYPERLINK "http://www.hcd.ca.gov/policy-research/plans-reports/index.shtml" </w:instrText>
      </w:r>
      <w:r w:rsidR="003E6342" w:rsidRPr="003E6342">
        <w:rPr>
          <w:rFonts w:cs="Arial"/>
          <w:color w:val="3333FF"/>
        </w:rPr>
        <w:fldChar w:fldCharType="separate"/>
      </w:r>
      <w:r w:rsidR="003E6342" w:rsidRPr="003E6342">
        <w:rPr>
          <w:rStyle w:val="Hyperlink"/>
          <w:rFonts w:cs="Arial"/>
          <w:color w:val="3333FF"/>
        </w:rPr>
        <w:t>http://www.hcd.ca.gov/policy-research/plans-reports/index.shtml</w:t>
      </w:r>
      <w:bookmarkEnd w:id="6"/>
      <w:r w:rsidR="003E6342" w:rsidRPr="003E6342">
        <w:rPr>
          <w:rFonts w:cs="Arial"/>
          <w:color w:val="3333FF"/>
        </w:rPr>
        <w:fldChar w:fldCharType="end"/>
      </w:r>
      <w:r w:rsidR="003E6342" w:rsidRPr="003E6342">
        <w:rPr>
          <w:rFonts w:cs="Arial"/>
          <w:color w:val="3333FF"/>
        </w:rPr>
        <w:t xml:space="preserve"> </w:t>
      </w:r>
      <w:r w:rsidRPr="00473271">
        <w:rPr>
          <w:rFonts w:cs="Arial"/>
        </w:rPr>
        <w:t>for copies of the forms. </w:t>
      </w:r>
    </w:p>
    <w:p w14:paraId="1A41262C" w14:textId="77777777" w:rsidR="00D53273" w:rsidRPr="00473271" w:rsidRDefault="00D53273" w:rsidP="002E4D24">
      <w:pPr>
        <w:widowControl w:val="0"/>
        <w:spacing w:before="100" w:beforeAutospacing="1" w:after="100" w:afterAutospacing="1"/>
        <w:rPr>
          <w:rFonts w:cs="Arial"/>
        </w:rPr>
      </w:pPr>
      <w:r w:rsidRPr="00473271">
        <w:rPr>
          <w:rFonts w:cs="Arial"/>
        </w:rPr>
        <w:t>Understanding the importance of affirmative marketing and the barriers to program participation due to race, ethnicity, gender, age, or disability status has increased through the use of these tools, and through information provided identifying particular barriers to accessing assistance such as inconsistent program funding levels, poor consumer credit, hesitancy to take on additional homeownership debt, and higher incomes among certain groups versus others.</w:t>
      </w:r>
    </w:p>
    <w:p w14:paraId="50623389" w14:textId="77777777" w:rsidR="00D53273" w:rsidRPr="00F64F77" w:rsidRDefault="00D53273" w:rsidP="00D53273">
      <w:pPr>
        <w:widowControl w:val="0"/>
        <w:rPr>
          <w:b/>
          <w:szCs w:val="24"/>
          <w:u w:val="single"/>
        </w:rPr>
      </w:pPr>
      <w:r w:rsidRPr="00F64F77">
        <w:rPr>
          <w:b/>
          <w:szCs w:val="24"/>
          <w:u w:val="single"/>
        </w:rPr>
        <w:t>Refer to IDIS reports to describe the amount and use of program income for projects, including the number of projects and owner and tenant characteristics</w:t>
      </w:r>
    </w:p>
    <w:p w14:paraId="625FE888" w14:textId="77777777" w:rsidR="00D53273" w:rsidRPr="00C92F7C" w:rsidRDefault="00D53273" w:rsidP="00C0352B">
      <w:pPr>
        <w:widowControl w:val="0"/>
        <w:spacing w:before="100" w:beforeAutospacing="1" w:after="100" w:afterAutospacing="1"/>
        <w:rPr>
          <w:rFonts w:cs="Arial"/>
        </w:rPr>
      </w:pPr>
      <w:r w:rsidRPr="00C92F7C">
        <w:rPr>
          <w:rFonts w:cs="Arial"/>
        </w:rPr>
        <w:t>Total Program Income</w:t>
      </w:r>
      <w:r w:rsidR="00C0352B" w:rsidRPr="00C92F7C">
        <w:rPr>
          <w:rFonts w:cs="Arial"/>
        </w:rPr>
        <w:t xml:space="preserve"> (PI)</w:t>
      </w:r>
      <w:r w:rsidRPr="00C92F7C">
        <w:rPr>
          <w:rFonts w:cs="Arial"/>
        </w:rPr>
        <w:t xml:space="preserve"> available for </w:t>
      </w:r>
      <w:r w:rsidR="00592B04" w:rsidRPr="00C92F7C">
        <w:rPr>
          <w:rFonts w:cs="Arial"/>
        </w:rPr>
        <w:t>2016-17</w:t>
      </w:r>
      <w:r w:rsidRPr="00C92F7C">
        <w:rPr>
          <w:rFonts w:cs="Arial"/>
        </w:rPr>
        <w:t xml:space="preserve"> was </w:t>
      </w:r>
      <w:r w:rsidRPr="00C92F7C">
        <w:rPr>
          <w:rFonts w:cs="Arial"/>
          <w:b/>
        </w:rPr>
        <w:t>$</w:t>
      </w:r>
      <w:r w:rsidR="00F065AF" w:rsidRPr="00C92F7C">
        <w:rPr>
          <w:rFonts w:cs="Arial"/>
          <w:b/>
        </w:rPr>
        <w:t>31,170,836</w:t>
      </w:r>
      <w:r w:rsidRPr="00C92F7C">
        <w:rPr>
          <w:rFonts w:cs="Arial"/>
        </w:rPr>
        <w:t xml:space="preserve">. This includes a beginning balance of </w:t>
      </w:r>
      <w:r w:rsidRPr="00C92F7C">
        <w:rPr>
          <w:rFonts w:cs="Arial"/>
          <w:b/>
        </w:rPr>
        <w:t>$</w:t>
      </w:r>
      <w:r w:rsidR="00F065AF" w:rsidRPr="00C92F7C">
        <w:rPr>
          <w:rFonts w:cs="Arial"/>
          <w:b/>
        </w:rPr>
        <w:t>21,491,629</w:t>
      </w:r>
      <w:r w:rsidRPr="00C92F7C">
        <w:rPr>
          <w:rFonts w:cs="Arial"/>
          <w:b/>
        </w:rPr>
        <w:t>,</w:t>
      </w:r>
      <w:r w:rsidRPr="00C92F7C">
        <w:rPr>
          <w:rFonts w:cs="Arial"/>
        </w:rPr>
        <w:t xml:space="preserve"> and </w:t>
      </w:r>
      <w:r w:rsidRPr="00C92F7C">
        <w:rPr>
          <w:rFonts w:cs="Arial"/>
          <w:b/>
        </w:rPr>
        <w:t>$</w:t>
      </w:r>
      <w:r w:rsidR="00F065AF" w:rsidRPr="00C92F7C">
        <w:rPr>
          <w:rFonts w:cs="Arial"/>
          <w:b/>
        </w:rPr>
        <w:t xml:space="preserve">9,679,207 </w:t>
      </w:r>
      <w:r w:rsidR="00F065AF" w:rsidRPr="00C92F7C">
        <w:rPr>
          <w:rFonts w:cs="Arial"/>
        </w:rPr>
        <w:t>in</w:t>
      </w:r>
      <w:r w:rsidR="00F065AF" w:rsidRPr="00C92F7C">
        <w:rPr>
          <w:rFonts w:cs="Arial"/>
          <w:b/>
        </w:rPr>
        <w:t xml:space="preserve"> </w:t>
      </w:r>
      <w:r w:rsidR="00F065AF" w:rsidRPr="00C92F7C">
        <w:rPr>
          <w:rFonts w:cs="Arial"/>
        </w:rPr>
        <w:t>Program Income r</w:t>
      </w:r>
      <w:r w:rsidRPr="00C92F7C">
        <w:rPr>
          <w:rFonts w:cs="Arial"/>
        </w:rPr>
        <w:t xml:space="preserve">eceived by HOME State Recipients.  </w:t>
      </w:r>
    </w:p>
    <w:p w14:paraId="14689A7A" w14:textId="77777777" w:rsidR="00D53273" w:rsidRPr="00C92F7C" w:rsidRDefault="00D53273" w:rsidP="00F64F77">
      <w:pPr>
        <w:widowControl w:val="0"/>
        <w:spacing w:before="100" w:beforeAutospacing="1" w:after="100" w:afterAutospacing="1"/>
        <w:rPr>
          <w:rFonts w:cs="Arial"/>
        </w:rPr>
      </w:pPr>
      <w:r w:rsidRPr="00C92F7C">
        <w:rPr>
          <w:rFonts w:cs="Arial"/>
        </w:rPr>
        <w:t xml:space="preserve">HOME </w:t>
      </w:r>
      <w:r w:rsidR="008C5148" w:rsidRPr="00C92F7C">
        <w:rPr>
          <w:rFonts w:cs="Arial"/>
        </w:rPr>
        <w:t xml:space="preserve">state recipients </w:t>
      </w:r>
      <w:r w:rsidRPr="00C92F7C">
        <w:rPr>
          <w:rFonts w:cs="Arial"/>
        </w:rPr>
        <w:t xml:space="preserve">received </w:t>
      </w:r>
      <w:r w:rsidRPr="00C92F7C">
        <w:rPr>
          <w:rFonts w:cs="Arial"/>
          <w:b/>
          <w:szCs w:val="24"/>
        </w:rPr>
        <w:t>$</w:t>
      </w:r>
      <w:r w:rsidR="00F065AF" w:rsidRPr="00C92F7C">
        <w:rPr>
          <w:rFonts w:cs="Arial"/>
          <w:b/>
          <w:szCs w:val="24"/>
        </w:rPr>
        <w:t>9,679,207</w:t>
      </w:r>
      <w:r w:rsidR="00F065AF" w:rsidRPr="00C92F7C">
        <w:rPr>
          <w:rFonts w:ascii="Calibri" w:hAnsi="Calibri"/>
          <w:sz w:val="22"/>
        </w:rPr>
        <w:t xml:space="preserve"> </w:t>
      </w:r>
      <w:r w:rsidRPr="00C92F7C">
        <w:rPr>
          <w:rFonts w:cs="Arial"/>
        </w:rPr>
        <w:t xml:space="preserve">in </w:t>
      </w:r>
      <w:r w:rsidR="00C0352B" w:rsidRPr="00C92F7C">
        <w:rPr>
          <w:rFonts w:cs="Arial"/>
        </w:rPr>
        <w:t>PI</w:t>
      </w:r>
      <w:r w:rsidRPr="00C92F7C">
        <w:rPr>
          <w:rFonts w:cs="Arial"/>
        </w:rPr>
        <w:t xml:space="preserve"> as follows: </w:t>
      </w:r>
      <w:r w:rsidR="00444036">
        <w:rPr>
          <w:rFonts w:cs="Arial"/>
        </w:rPr>
        <w:t>(</w:t>
      </w:r>
      <w:r w:rsidRPr="00C92F7C">
        <w:rPr>
          <w:rFonts w:cs="Arial"/>
        </w:rPr>
        <w:t xml:space="preserve">1) </w:t>
      </w:r>
      <w:r w:rsidR="00C0352B" w:rsidRPr="00C92F7C">
        <w:rPr>
          <w:rFonts w:cs="Arial"/>
        </w:rPr>
        <w:t>PI</w:t>
      </w:r>
      <w:r w:rsidRPr="00C92F7C">
        <w:rPr>
          <w:rFonts w:cs="Arial"/>
        </w:rPr>
        <w:t xml:space="preserve"> </w:t>
      </w:r>
      <w:r w:rsidRPr="00C92F7C">
        <w:rPr>
          <w:rFonts w:cs="Arial"/>
          <w:b/>
        </w:rPr>
        <w:t>$</w:t>
      </w:r>
      <w:r w:rsidR="00F065AF" w:rsidRPr="00C92F7C">
        <w:rPr>
          <w:rFonts w:cs="Arial"/>
          <w:b/>
          <w:szCs w:val="24"/>
        </w:rPr>
        <w:t>6,323,077</w:t>
      </w:r>
      <w:r w:rsidR="00F065AF" w:rsidRPr="00C92F7C">
        <w:rPr>
          <w:rFonts w:cs="Arial"/>
          <w:szCs w:val="24"/>
        </w:rPr>
        <w:t xml:space="preserve"> </w:t>
      </w:r>
      <w:r w:rsidRPr="00C92F7C">
        <w:rPr>
          <w:rFonts w:cs="Arial"/>
        </w:rPr>
        <w:t xml:space="preserve">and </w:t>
      </w:r>
      <w:r w:rsidR="00444036">
        <w:rPr>
          <w:rFonts w:cs="Arial"/>
        </w:rPr>
        <w:t>(</w:t>
      </w:r>
      <w:r w:rsidRPr="00C92F7C">
        <w:rPr>
          <w:rFonts w:cs="Arial"/>
        </w:rPr>
        <w:t xml:space="preserve">2) Recaptured Funds </w:t>
      </w:r>
      <w:r w:rsidRPr="00C92F7C">
        <w:rPr>
          <w:rFonts w:cs="Arial"/>
          <w:b/>
        </w:rPr>
        <w:t>$</w:t>
      </w:r>
      <w:r w:rsidR="00F065AF" w:rsidRPr="00C92F7C">
        <w:rPr>
          <w:rFonts w:cs="Arial"/>
          <w:b/>
          <w:szCs w:val="24"/>
        </w:rPr>
        <w:t>3,356,130</w:t>
      </w:r>
      <w:r w:rsidRPr="00C92F7C">
        <w:rPr>
          <w:rFonts w:cs="Arial"/>
        </w:rPr>
        <w:t xml:space="preserve">. </w:t>
      </w:r>
      <w:r w:rsidR="008C5148" w:rsidRPr="00C92F7C">
        <w:rPr>
          <w:rFonts w:cs="Arial"/>
        </w:rPr>
        <w:t xml:space="preserve"> </w:t>
      </w:r>
      <w:r w:rsidRPr="00C92F7C">
        <w:rPr>
          <w:rFonts w:cs="Arial"/>
        </w:rPr>
        <w:t xml:space="preserve">State </w:t>
      </w:r>
      <w:r w:rsidR="008C5148" w:rsidRPr="00C92F7C">
        <w:rPr>
          <w:rFonts w:cs="Arial"/>
        </w:rPr>
        <w:t xml:space="preserve">recipients </w:t>
      </w:r>
      <w:r w:rsidRPr="00C92F7C">
        <w:rPr>
          <w:rFonts w:cs="Arial"/>
        </w:rPr>
        <w:t xml:space="preserve">expended </w:t>
      </w:r>
      <w:r w:rsidRPr="00C92F7C">
        <w:rPr>
          <w:rFonts w:cs="Arial"/>
          <w:b/>
        </w:rPr>
        <w:t>$</w:t>
      </w:r>
      <w:r w:rsidR="00F065AF" w:rsidRPr="00C92F7C">
        <w:rPr>
          <w:rFonts w:cs="Arial"/>
          <w:b/>
          <w:szCs w:val="24"/>
        </w:rPr>
        <w:t>5,639,937</w:t>
      </w:r>
      <w:r w:rsidR="00F065AF" w:rsidRPr="00C92F7C">
        <w:rPr>
          <w:rFonts w:cs="Arial"/>
          <w:szCs w:val="24"/>
        </w:rPr>
        <w:t xml:space="preserve"> </w:t>
      </w:r>
      <w:r w:rsidRPr="00C92F7C">
        <w:rPr>
          <w:rFonts w:cs="Arial"/>
        </w:rPr>
        <w:t xml:space="preserve">to provide affordable housing during </w:t>
      </w:r>
      <w:r w:rsidR="002E4D24" w:rsidRPr="00C92F7C">
        <w:rPr>
          <w:rFonts w:cs="Arial"/>
        </w:rPr>
        <w:t xml:space="preserve">FY </w:t>
      </w:r>
      <w:r w:rsidR="00592B04" w:rsidRPr="00C92F7C">
        <w:rPr>
          <w:rFonts w:cs="Arial"/>
        </w:rPr>
        <w:t>2016-17</w:t>
      </w:r>
      <w:r w:rsidRPr="00C92F7C">
        <w:rPr>
          <w:rFonts w:cs="Arial"/>
        </w:rPr>
        <w:t xml:space="preserve"> and </w:t>
      </w:r>
      <w:r w:rsidRPr="00C92F7C">
        <w:rPr>
          <w:rFonts w:cs="Arial"/>
          <w:b/>
        </w:rPr>
        <w:t>$</w:t>
      </w:r>
      <w:r w:rsidR="00F065AF" w:rsidRPr="00C92F7C">
        <w:rPr>
          <w:rFonts w:cs="Arial"/>
          <w:b/>
          <w:szCs w:val="24"/>
        </w:rPr>
        <w:t>402,646</w:t>
      </w:r>
      <w:r w:rsidR="00F065AF" w:rsidRPr="00C92F7C">
        <w:rPr>
          <w:rFonts w:cs="Arial"/>
          <w:szCs w:val="24"/>
        </w:rPr>
        <w:t xml:space="preserve"> </w:t>
      </w:r>
      <w:r w:rsidRPr="00C92F7C">
        <w:rPr>
          <w:rFonts w:cs="Arial"/>
        </w:rPr>
        <w:t>was expended for administrative costs.</w:t>
      </w:r>
    </w:p>
    <w:p w14:paraId="0BFAF179" w14:textId="6D81CC42" w:rsidR="00F065AF" w:rsidRDefault="00D53273" w:rsidP="00C0352B">
      <w:pPr>
        <w:widowControl w:val="0"/>
        <w:spacing w:before="100" w:beforeAutospacing="1" w:after="100" w:afterAutospacing="1"/>
        <w:rPr>
          <w:rFonts w:cs="Arial"/>
          <w:szCs w:val="24"/>
        </w:rPr>
      </w:pPr>
      <w:r w:rsidRPr="00C92F7C">
        <w:rPr>
          <w:rFonts w:cs="Arial"/>
        </w:rPr>
        <w:t xml:space="preserve">Compiled data to date shows that the majority of PI project beneficiaries for </w:t>
      </w:r>
      <w:r w:rsidR="009407B8" w:rsidRPr="00C92F7C">
        <w:rPr>
          <w:rFonts w:cs="Arial"/>
        </w:rPr>
        <w:t>FY 2016-17</w:t>
      </w:r>
      <w:r w:rsidRPr="00C92F7C">
        <w:rPr>
          <w:rFonts w:cs="Arial"/>
        </w:rPr>
        <w:t xml:space="preserve"> are approximately </w:t>
      </w:r>
      <w:r w:rsidR="00F065AF" w:rsidRPr="00C92F7C">
        <w:rPr>
          <w:rFonts w:cs="Arial"/>
          <w:b/>
        </w:rPr>
        <w:t>33</w:t>
      </w:r>
      <w:r w:rsidR="00AE04E3" w:rsidRPr="00C92F7C">
        <w:rPr>
          <w:rFonts w:cs="Arial"/>
          <w:b/>
        </w:rPr>
        <w:t xml:space="preserve"> </w:t>
      </w:r>
      <w:r w:rsidR="00473271" w:rsidRPr="00C92F7C">
        <w:rPr>
          <w:rFonts w:cs="Arial"/>
          <w:b/>
        </w:rPr>
        <w:t xml:space="preserve">percent </w:t>
      </w:r>
      <w:r w:rsidRPr="00C92F7C">
        <w:rPr>
          <w:rFonts w:cs="Arial"/>
        </w:rPr>
        <w:t xml:space="preserve">Hispanic White </w:t>
      </w:r>
      <w:r w:rsidRPr="00C92F7C">
        <w:rPr>
          <w:rFonts w:cs="Arial"/>
        </w:rPr>
        <w:lastRenderedPageBreak/>
        <w:t xml:space="preserve">and </w:t>
      </w:r>
      <w:r w:rsidR="00F065AF" w:rsidRPr="00C92F7C">
        <w:rPr>
          <w:rFonts w:cs="Arial"/>
          <w:b/>
        </w:rPr>
        <w:t>67</w:t>
      </w:r>
      <w:r w:rsidR="00AE04E3" w:rsidRPr="00C92F7C">
        <w:rPr>
          <w:rFonts w:cs="Arial"/>
          <w:b/>
        </w:rPr>
        <w:t xml:space="preserve"> </w:t>
      </w:r>
      <w:r w:rsidR="00473271" w:rsidRPr="00C92F7C">
        <w:rPr>
          <w:rFonts w:cs="Arial"/>
          <w:b/>
        </w:rPr>
        <w:t>percent</w:t>
      </w:r>
      <w:r w:rsidR="00AE04E3" w:rsidRPr="00C92F7C">
        <w:rPr>
          <w:rFonts w:cs="Arial"/>
        </w:rPr>
        <w:t xml:space="preserve"> </w:t>
      </w:r>
      <w:r w:rsidRPr="00C92F7C">
        <w:rPr>
          <w:rFonts w:cs="Arial"/>
        </w:rPr>
        <w:t xml:space="preserve">Non-Hispanic White homeowners in </w:t>
      </w:r>
      <w:r w:rsidR="00F065AF" w:rsidRPr="00C92F7C">
        <w:rPr>
          <w:rFonts w:cs="Arial"/>
          <w:b/>
          <w:szCs w:val="24"/>
        </w:rPr>
        <w:t>Related/Two Parent (30%) and Related/Single Parent (35%)</w:t>
      </w:r>
      <w:r w:rsidR="00F065AF" w:rsidRPr="00C92F7C">
        <w:rPr>
          <w:rFonts w:cs="Arial"/>
          <w:szCs w:val="24"/>
        </w:rPr>
        <w:t xml:space="preserve"> households, (FTHB, TBRA and OOR activities), earning between </w:t>
      </w:r>
      <w:r w:rsidR="00F065AF" w:rsidRPr="00C92F7C">
        <w:rPr>
          <w:rFonts w:cs="Arial"/>
          <w:b/>
          <w:szCs w:val="24"/>
        </w:rPr>
        <w:t>61-80%</w:t>
      </w:r>
      <w:r w:rsidR="00F065AF" w:rsidRPr="00C92F7C">
        <w:rPr>
          <w:rFonts w:cs="Arial"/>
          <w:szCs w:val="24"/>
        </w:rPr>
        <w:t xml:space="preserve"> of area median income.  The majority of units funded were </w:t>
      </w:r>
      <w:r w:rsidR="00F065AF" w:rsidRPr="00C92F7C">
        <w:rPr>
          <w:rFonts w:cs="Arial"/>
          <w:b/>
          <w:szCs w:val="24"/>
        </w:rPr>
        <w:t>2- and 3-bedrooms</w:t>
      </w:r>
      <w:r w:rsidR="00F065AF" w:rsidRPr="00C92F7C">
        <w:rPr>
          <w:rFonts w:cs="Arial"/>
          <w:szCs w:val="24"/>
        </w:rPr>
        <w:t xml:space="preserve">, and most household sizes ranged from </w:t>
      </w:r>
      <w:r w:rsidR="003E6342" w:rsidRPr="00C92F7C">
        <w:rPr>
          <w:rFonts w:cs="Arial"/>
          <w:b/>
          <w:szCs w:val="24"/>
        </w:rPr>
        <w:t>1-5</w:t>
      </w:r>
      <w:r w:rsidR="003E6342" w:rsidRPr="00C92F7C">
        <w:rPr>
          <w:rFonts w:cs="Arial"/>
          <w:szCs w:val="24"/>
        </w:rPr>
        <w:t>-person</w:t>
      </w:r>
      <w:r w:rsidR="00F065AF" w:rsidRPr="00C92F7C">
        <w:rPr>
          <w:rFonts w:cs="Arial"/>
          <w:szCs w:val="24"/>
        </w:rPr>
        <w:t xml:space="preserve"> households.</w:t>
      </w:r>
      <w:r w:rsidR="00F065AF" w:rsidRPr="00C03D74">
        <w:rPr>
          <w:rFonts w:cs="Arial"/>
          <w:szCs w:val="24"/>
        </w:rPr>
        <w:t xml:space="preserve"> </w:t>
      </w:r>
    </w:p>
    <w:p w14:paraId="350E5672" w14:textId="77777777" w:rsidR="00D53273" w:rsidRPr="00473271" w:rsidRDefault="00D53273" w:rsidP="00C0352B">
      <w:pPr>
        <w:widowControl w:val="0"/>
        <w:spacing w:before="100" w:beforeAutospacing="1" w:after="100" w:afterAutospacing="1"/>
        <w:rPr>
          <w:rFonts w:cs="Arial"/>
        </w:rPr>
      </w:pPr>
      <w:r w:rsidRPr="00473271">
        <w:rPr>
          <w:rFonts w:cs="Arial"/>
        </w:rPr>
        <w:t>Note that the number of rental projects funded with PI is typically lower due to lower amounts of PI available at any given time, not enough to completely fund a rental project and not often enough to fund the few rental projects underway at any given time.</w:t>
      </w:r>
    </w:p>
    <w:p w14:paraId="021722B1" w14:textId="77777777" w:rsidR="00D53273" w:rsidRPr="002E4D24" w:rsidRDefault="00D53273" w:rsidP="00D53273">
      <w:pPr>
        <w:widowControl w:val="0"/>
        <w:rPr>
          <w:szCs w:val="24"/>
          <w:u w:val="single"/>
        </w:rPr>
      </w:pPr>
      <w:r w:rsidRPr="002E4D24">
        <w:rPr>
          <w:szCs w:val="24"/>
          <w:u w:val="single"/>
        </w:rPr>
        <w:t xml:space="preserve">Describe other actions taken to foster and maintain affordable housing.  </w:t>
      </w:r>
      <w:hyperlink r:id="rId41" w:history="1">
        <w:r w:rsidR="00CF1266" w:rsidRPr="00CF1266">
          <w:rPr>
            <w:rStyle w:val="Hyperlink"/>
            <w:color w:val="0000FF"/>
            <w:szCs w:val="24"/>
          </w:rPr>
          <w:t xml:space="preserve">24 CFR </w:t>
        </w:r>
        <w:r w:rsidRPr="00CF1266">
          <w:rPr>
            <w:rStyle w:val="Hyperlink"/>
            <w:color w:val="0000FF"/>
            <w:szCs w:val="24"/>
          </w:rPr>
          <w:t>91.220(k)</w:t>
        </w:r>
      </w:hyperlink>
      <w:r w:rsidRPr="00CF1266">
        <w:rPr>
          <w:color w:val="0000FF"/>
          <w:szCs w:val="24"/>
          <w:u w:val="single"/>
        </w:rPr>
        <w:t xml:space="preserve"> </w:t>
      </w:r>
      <w:r w:rsidRPr="002E4D24">
        <w:rPr>
          <w:szCs w:val="24"/>
          <w:u w:val="single"/>
        </w:rPr>
        <w:t xml:space="preserve">(STATES ONLY: Including the coordination of LIHTC with the development of affordable housing).  </w:t>
      </w:r>
      <w:hyperlink r:id="rId42" w:history="1">
        <w:r w:rsidR="00CF1266" w:rsidRPr="00CF1266">
          <w:rPr>
            <w:rStyle w:val="Hyperlink"/>
            <w:color w:val="0000FF"/>
            <w:szCs w:val="24"/>
          </w:rPr>
          <w:t xml:space="preserve">24 CFR </w:t>
        </w:r>
        <w:r w:rsidRPr="00CF1266">
          <w:rPr>
            <w:rStyle w:val="Hyperlink"/>
            <w:color w:val="0000FF"/>
            <w:szCs w:val="24"/>
          </w:rPr>
          <w:t>91.320(j)</w:t>
        </w:r>
      </w:hyperlink>
    </w:p>
    <w:p w14:paraId="4C9A9A85" w14:textId="58EF1E8A" w:rsidR="00D53273" w:rsidRPr="00473271" w:rsidRDefault="0067259C" w:rsidP="00CF1266">
      <w:pPr>
        <w:widowControl w:val="0"/>
        <w:spacing w:before="100" w:beforeAutospacing="1" w:after="100" w:afterAutospacing="1"/>
        <w:rPr>
          <w:rFonts w:cs="Arial"/>
        </w:rPr>
      </w:pPr>
      <w:r>
        <w:rPr>
          <w:rFonts w:cs="Arial"/>
        </w:rPr>
        <w:t xml:space="preserve">The Department’s </w:t>
      </w:r>
      <w:r w:rsidR="00D53273" w:rsidRPr="00473271">
        <w:rPr>
          <w:rFonts w:cs="Arial"/>
        </w:rPr>
        <w:t>rental housing production programs continue to consult with the California Tax Credit Allocation Committee</w:t>
      </w:r>
      <w:r w:rsidR="00C0352B">
        <w:rPr>
          <w:rFonts w:cs="Arial"/>
        </w:rPr>
        <w:t xml:space="preserve"> (TCAC)</w:t>
      </w:r>
      <w:r w:rsidR="00D53273" w:rsidRPr="00473271">
        <w:rPr>
          <w:rFonts w:cs="Arial"/>
        </w:rPr>
        <w:t xml:space="preserve"> on </w:t>
      </w:r>
      <w:r w:rsidR="00C0352B" w:rsidRPr="00473271">
        <w:rPr>
          <w:rFonts w:cs="Arial"/>
        </w:rPr>
        <w:t>jointly funded</w:t>
      </w:r>
      <w:r w:rsidR="00D53273" w:rsidRPr="00473271">
        <w:rPr>
          <w:rFonts w:cs="Arial"/>
        </w:rPr>
        <w:t xml:space="preserve"> projects.</w:t>
      </w:r>
      <w:r w:rsidR="00C0352B">
        <w:rPr>
          <w:rFonts w:cs="Arial"/>
        </w:rPr>
        <w:t xml:space="preserve"> </w:t>
      </w:r>
      <w:r w:rsidR="00D53273" w:rsidRPr="00473271">
        <w:rPr>
          <w:rFonts w:cs="Arial"/>
        </w:rPr>
        <w:t xml:space="preserve"> Other current efforts to foster and maintain affordable housing were previously discussed in CR 35. </w:t>
      </w:r>
      <w:r w:rsidR="00C0352B">
        <w:rPr>
          <w:rFonts w:cs="Arial"/>
        </w:rPr>
        <w:t xml:space="preserve"> </w:t>
      </w:r>
      <w:r w:rsidR="00D53273" w:rsidRPr="00473271">
        <w:rPr>
          <w:rFonts w:cs="Arial"/>
        </w:rPr>
        <w:t xml:space="preserve">In addition, given the size and scope of housing and community development </w:t>
      </w:r>
      <w:r w:rsidR="003E6342" w:rsidRPr="00473271">
        <w:rPr>
          <w:rFonts w:cs="Arial"/>
        </w:rPr>
        <w:t>needs in</w:t>
      </w:r>
      <w:r w:rsidR="00D53273" w:rsidRPr="00473271">
        <w:rPr>
          <w:rFonts w:cs="Arial"/>
        </w:rPr>
        <w:t xml:space="preserve"> California, </w:t>
      </w:r>
      <w:r w:rsidR="00663735">
        <w:rPr>
          <w:rFonts w:cs="Arial"/>
        </w:rPr>
        <w:t>it is the Department’s goal to review</w:t>
      </w:r>
      <w:r w:rsidR="00D53273" w:rsidRPr="00473271">
        <w:rPr>
          <w:rFonts w:cs="Arial"/>
        </w:rPr>
        <w:t xml:space="preserve"> each program’s obstacles </w:t>
      </w:r>
      <w:r w:rsidR="00663735">
        <w:rPr>
          <w:rFonts w:cs="Arial"/>
        </w:rPr>
        <w:t>in</w:t>
      </w:r>
      <w:r w:rsidR="00D53273" w:rsidRPr="00473271">
        <w:rPr>
          <w:rFonts w:cs="Arial"/>
        </w:rPr>
        <w:t xml:space="preserve"> meeting the </w:t>
      </w:r>
      <w:r w:rsidR="008C5148" w:rsidRPr="00473271">
        <w:rPr>
          <w:rFonts w:cs="Arial"/>
        </w:rPr>
        <w:t xml:space="preserve">state’s </w:t>
      </w:r>
      <w:r w:rsidR="00D53273" w:rsidRPr="00473271">
        <w:rPr>
          <w:rFonts w:cs="Arial"/>
        </w:rPr>
        <w:t xml:space="preserve">affordable housing </w:t>
      </w:r>
      <w:r w:rsidR="003E6342" w:rsidRPr="00473271">
        <w:rPr>
          <w:rFonts w:cs="Arial"/>
        </w:rPr>
        <w:t>needs after</w:t>
      </w:r>
      <w:r w:rsidR="00663735">
        <w:rPr>
          <w:rFonts w:cs="Arial"/>
        </w:rPr>
        <w:t xml:space="preserve"> each </w:t>
      </w:r>
      <w:r w:rsidR="00D53273" w:rsidRPr="00473271">
        <w:rPr>
          <w:rFonts w:cs="Arial"/>
        </w:rPr>
        <w:t>funding round has been completed and prior to the beginning of the next one. </w:t>
      </w:r>
      <w:r w:rsidR="00C0352B">
        <w:rPr>
          <w:rFonts w:cs="Arial"/>
        </w:rPr>
        <w:t xml:space="preserve"> </w:t>
      </w:r>
      <w:r w:rsidR="00D53273" w:rsidRPr="00473271">
        <w:rPr>
          <w:rFonts w:cs="Arial"/>
        </w:rPr>
        <w:t>Each program seeks to further refine its method of distribution when necessary to adjust to changing markets and economic conditions in the state.</w:t>
      </w:r>
    </w:p>
    <w:p w14:paraId="6226BF53" w14:textId="77777777" w:rsidR="002E4D24" w:rsidRDefault="002E4D24">
      <w:pPr>
        <w:rPr>
          <w:rFonts w:cs="Arial"/>
          <w:b/>
          <w:color w:val="335375" w:themeColor="accent3" w:themeShade="BF"/>
          <w:sz w:val="28"/>
          <w:szCs w:val="24"/>
          <w:u w:val="single"/>
        </w:rPr>
      </w:pPr>
      <w:r>
        <w:rPr>
          <w:rFonts w:cs="Arial"/>
          <w:b/>
          <w:color w:val="335375" w:themeColor="accent3" w:themeShade="BF"/>
          <w:sz w:val="28"/>
          <w:u w:val="single"/>
        </w:rPr>
        <w:br w:type="page"/>
      </w:r>
    </w:p>
    <w:p w14:paraId="0386D049" w14:textId="77777777" w:rsidR="00757E30" w:rsidRPr="002E4D24" w:rsidRDefault="00757E30" w:rsidP="00757E30">
      <w:pPr>
        <w:pStyle w:val="Default"/>
        <w:jc w:val="center"/>
        <w:rPr>
          <w:rFonts w:ascii="Arial" w:hAnsi="Arial" w:cs="Arial"/>
          <w:b/>
          <w:color w:val="335375" w:themeColor="accent3" w:themeShade="BF"/>
          <w:sz w:val="28"/>
          <w:u w:val="single"/>
        </w:rPr>
      </w:pPr>
      <w:r w:rsidRPr="002E4D24">
        <w:rPr>
          <w:rFonts w:ascii="Arial" w:hAnsi="Arial" w:cs="Arial"/>
          <w:b/>
          <w:color w:val="335375" w:themeColor="accent3" w:themeShade="BF"/>
          <w:sz w:val="28"/>
          <w:u w:val="single"/>
        </w:rPr>
        <w:lastRenderedPageBreak/>
        <w:t>CR-55 HOPWA (HOPWA grantees only)</w:t>
      </w:r>
    </w:p>
    <w:p w14:paraId="65F14108" w14:textId="77777777" w:rsidR="00757E30" w:rsidRPr="002E4D24" w:rsidRDefault="00757E30" w:rsidP="00757E30">
      <w:pPr>
        <w:pStyle w:val="Default"/>
        <w:rPr>
          <w:rFonts w:ascii="Arial" w:hAnsi="Arial" w:cs="Arial"/>
          <w:i/>
          <w:color w:val="335375" w:themeColor="accent3" w:themeShade="BF"/>
          <w:sz w:val="22"/>
        </w:rPr>
      </w:pPr>
    </w:p>
    <w:p w14:paraId="7358B8CE" w14:textId="77777777" w:rsidR="0063570A" w:rsidRDefault="00757E30" w:rsidP="00F64F77">
      <w:pPr>
        <w:pStyle w:val="Default"/>
        <w:rPr>
          <w:rFonts w:ascii="Arial" w:hAnsi="Arial" w:cs="Arial"/>
          <w:i/>
          <w:color w:val="87A9CB" w:themeColor="accent3" w:themeTint="99"/>
          <w:sz w:val="22"/>
        </w:rPr>
      </w:pPr>
      <w:r w:rsidRPr="00936F6D">
        <w:rPr>
          <w:rFonts w:ascii="Arial" w:hAnsi="Arial" w:cs="Arial"/>
          <w:i/>
          <w:color w:val="87A9CB" w:themeColor="accent3" w:themeTint="99"/>
          <w:sz w:val="22"/>
        </w:rPr>
        <w:t>Regulation Citation(s): 24 CFR 91.520(f)</w:t>
      </w:r>
    </w:p>
    <w:p w14:paraId="2DB69C11" w14:textId="77777777" w:rsidR="00F64F77" w:rsidRPr="00F64F77" w:rsidRDefault="00F64F77" w:rsidP="00F64F77">
      <w:pPr>
        <w:pStyle w:val="Default"/>
        <w:rPr>
          <w:rFonts w:ascii="Arial" w:hAnsi="Arial" w:cs="Arial"/>
          <w:color w:val="87A9CB" w:themeColor="accent3" w:themeTint="99"/>
        </w:rPr>
      </w:pPr>
    </w:p>
    <w:p w14:paraId="518DFAF0" w14:textId="77777777" w:rsidR="00683C69" w:rsidRPr="0063570A" w:rsidRDefault="00683C69" w:rsidP="0063570A">
      <w:pPr>
        <w:widowControl w:val="0"/>
        <w:spacing w:after="100" w:afterAutospacing="1"/>
        <w:rPr>
          <w:i/>
        </w:rPr>
      </w:pPr>
    </w:p>
    <w:tbl>
      <w:tblPr>
        <w:tblStyle w:val="ListTable4-Accent3"/>
        <w:tblW w:w="5000" w:type="pct"/>
        <w:tblLayout w:type="fixed"/>
        <w:tblLook w:val="01E0" w:firstRow="1" w:lastRow="1" w:firstColumn="1" w:lastColumn="1" w:noHBand="0" w:noVBand="0"/>
      </w:tblPr>
      <w:tblGrid>
        <w:gridCol w:w="7023"/>
        <w:gridCol w:w="3787"/>
        <w:gridCol w:w="3580"/>
      </w:tblGrid>
      <w:tr w:rsidR="00683C69" w14:paraId="078D8251" w14:textId="77777777" w:rsidTr="00BC7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3" w:type="dxa"/>
          </w:tcPr>
          <w:p w14:paraId="4EE09CF5" w14:textId="77777777" w:rsidR="00683C69" w:rsidRPr="00683C69" w:rsidRDefault="00683C69" w:rsidP="00936F6D">
            <w:pPr>
              <w:keepNext/>
              <w:widowControl w:val="0"/>
              <w:tabs>
                <w:tab w:val="left" w:pos="2070"/>
              </w:tabs>
              <w:ind w:right="162"/>
              <w:jc w:val="center"/>
            </w:pPr>
            <w:r w:rsidRPr="00683C69">
              <w:t>Number  of Households Served Through:</w:t>
            </w:r>
          </w:p>
        </w:tc>
        <w:tc>
          <w:tcPr>
            <w:cnfStyle w:val="000010000000" w:firstRow="0" w:lastRow="0" w:firstColumn="0" w:lastColumn="0" w:oddVBand="1" w:evenVBand="0" w:oddHBand="0" w:evenHBand="0" w:firstRowFirstColumn="0" w:firstRowLastColumn="0" w:lastRowFirstColumn="0" w:lastRowLastColumn="0"/>
            <w:tcW w:w="3787" w:type="dxa"/>
          </w:tcPr>
          <w:p w14:paraId="19F23FB1" w14:textId="77777777" w:rsidR="00683C69" w:rsidRPr="00683C69" w:rsidRDefault="00683C69" w:rsidP="00936F6D">
            <w:pPr>
              <w:keepNext/>
              <w:widowControl w:val="0"/>
              <w:jc w:val="center"/>
            </w:pPr>
            <w:r w:rsidRPr="00683C69">
              <w:t>One-year Goal</w:t>
            </w:r>
          </w:p>
        </w:tc>
        <w:tc>
          <w:tcPr>
            <w:cnfStyle w:val="000100000000" w:firstRow="0" w:lastRow="0" w:firstColumn="0" w:lastColumn="1" w:oddVBand="0" w:evenVBand="0" w:oddHBand="0" w:evenHBand="0" w:firstRowFirstColumn="0" w:firstRowLastColumn="0" w:lastRowFirstColumn="0" w:lastRowLastColumn="0"/>
            <w:tcW w:w="3580" w:type="dxa"/>
          </w:tcPr>
          <w:p w14:paraId="7D823739" w14:textId="77777777" w:rsidR="00683C69" w:rsidRPr="00683C69" w:rsidRDefault="00683C69" w:rsidP="00936F6D">
            <w:pPr>
              <w:keepNext/>
              <w:widowControl w:val="0"/>
              <w:jc w:val="center"/>
            </w:pPr>
            <w:r w:rsidRPr="00683C69">
              <w:t>Actual</w:t>
            </w:r>
          </w:p>
        </w:tc>
      </w:tr>
      <w:tr w:rsidR="00BC7F5F" w:rsidRPr="00802696" w14:paraId="0A834F6A" w14:textId="77777777" w:rsidTr="00802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3" w:type="dxa"/>
          </w:tcPr>
          <w:p w14:paraId="5ACD1399" w14:textId="77777777" w:rsidR="00BC7F5F" w:rsidRPr="00802696" w:rsidRDefault="00BC7F5F" w:rsidP="00BC7F5F">
            <w:pPr>
              <w:spacing w:before="100" w:beforeAutospacing="1" w:after="100" w:afterAutospacing="1"/>
              <w:rPr>
                <w:b w:val="0"/>
                <w:sz w:val="22"/>
              </w:rPr>
            </w:pPr>
            <w:r w:rsidRPr="00802696">
              <w:rPr>
                <w:b w:val="0"/>
                <w:color w:val="000000"/>
                <w:sz w:val="22"/>
              </w:rPr>
              <w:t>Short-term rent, mortgage, and utility assistance to prevent homelessness of the individual or family</w:t>
            </w:r>
          </w:p>
        </w:tc>
        <w:tc>
          <w:tcPr>
            <w:cnfStyle w:val="000010000000" w:firstRow="0" w:lastRow="0" w:firstColumn="0" w:lastColumn="0" w:oddVBand="1" w:evenVBand="0" w:oddHBand="0" w:evenHBand="0" w:firstRowFirstColumn="0" w:firstRowLastColumn="0" w:lastRowFirstColumn="0" w:lastRowLastColumn="0"/>
            <w:tcW w:w="3787" w:type="dxa"/>
            <w:tcBorders>
              <w:top w:val="outset" w:sz="6" w:space="0" w:color="auto"/>
              <w:left w:val="outset" w:sz="6" w:space="0" w:color="auto"/>
              <w:bottom w:val="outset" w:sz="6" w:space="0" w:color="auto"/>
              <w:right w:val="outset" w:sz="6" w:space="0" w:color="auto"/>
            </w:tcBorders>
            <w:vAlign w:val="center"/>
          </w:tcPr>
          <w:p w14:paraId="0875BAF0" w14:textId="77777777" w:rsidR="00BC7F5F" w:rsidRPr="00444036" w:rsidRDefault="00BC7F5F" w:rsidP="00802696">
            <w:pPr>
              <w:jc w:val="right"/>
              <w:rPr>
                <w:rFonts w:eastAsia="Times New Roman" w:cs="Arial"/>
                <w:sz w:val="22"/>
              </w:rPr>
            </w:pPr>
            <w:r w:rsidRPr="00444036">
              <w:rPr>
                <w:rFonts w:eastAsia="Times New Roman" w:cs="Arial"/>
                <w:sz w:val="22"/>
              </w:rPr>
              <w:t>702</w:t>
            </w:r>
          </w:p>
        </w:tc>
        <w:tc>
          <w:tcPr>
            <w:cnfStyle w:val="000100000000" w:firstRow="0" w:lastRow="0" w:firstColumn="0" w:lastColumn="1" w:oddVBand="0" w:evenVBand="0" w:oddHBand="0" w:evenHBand="0" w:firstRowFirstColumn="0" w:firstRowLastColumn="0" w:lastRowFirstColumn="0" w:lastRowLastColumn="0"/>
            <w:tcW w:w="3580" w:type="dxa"/>
            <w:vAlign w:val="center"/>
          </w:tcPr>
          <w:p w14:paraId="27914150" w14:textId="77777777" w:rsidR="00BC7F5F" w:rsidRPr="00444036" w:rsidRDefault="00802696" w:rsidP="00802696">
            <w:pPr>
              <w:spacing w:beforeAutospacing="1" w:afterAutospacing="1"/>
              <w:jc w:val="right"/>
              <w:rPr>
                <w:b w:val="0"/>
                <w:sz w:val="22"/>
              </w:rPr>
            </w:pPr>
            <w:r w:rsidRPr="00444036">
              <w:rPr>
                <w:b w:val="0"/>
                <w:sz w:val="22"/>
              </w:rPr>
              <w:t>631</w:t>
            </w:r>
          </w:p>
        </w:tc>
      </w:tr>
      <w:tr w:rsidR="00BC7F5F" w:rsidRPr="00802696" w14:paraId="15AE2A97" w14:textId="77777777" w:rsidTr="00802696">
        <w:tc>
          <w:tcPr>
            <w:cnfStyle w:val="001000000000" w:firstRow="0" w:lastRow="0" w:firstColumn="1" w:lastColumn="0" w:oddVBand="0" w:evenVBand="0" w:oddHBand="0" w:evenHBand="0" w:firstRowFirstColumn="0" w:firstRowLastColumn="0" w:lastRowFirstColumn="0" w:lastRowLastColumn="0"/>
            <w:tcW w:w="7023" w:type="dxa"/>
          </w:tcPr>
          <w:p w14:paraId="6A8A5592" w14:textId="77777777" w:rsidR="00BC7F5F" w:rsidRPr="00802696" w:rsidRDefault="00BC7F5F" w:rsidP="00BC7F5F">
            <w:pPr>
              <w:spacing w:beforeAutospacing="1" w:afterAutospacing="1"/>
              <w:rPr>
                <w:b w:val="0"/>
                <w:sz w:val="22"/>
              </w:rPr>
            </w:pPr>
            <w:r w:rsidRPr="00802696">
              <w:rPr>
                <w:b w:val="0"/>
                <w:color w:val="000000"/>
                <w:sz w:val="22"/>
              </w:rPr>
              <w:t>Tenant-based rental assistance</w:t>
            </w:r>
          </w:p>
        </w:tc>
        <w:tc>
          <w:tcPr>
            <w:cnfStyle w:val="000010000000" w:firstRow="0" w:lastRow="0" w:firstColumn="0" w:lastColumn="0" w:oddVBand="1" w:evenVBand="0" w:oddHBand="0" w:evenHBand="0" w:firstRowFirstColumn="0" w:firstRowLastColumn="0" w:lastRowFirstColumn="0" w:lastRowLastColumn="0"/>
            <w:tcW w:w="3787" w:type="dxa"/>
            <w:tcBorders>
              <w:top w:val="outset" w:sz="6" w:space="0" w:color="auto"/>
              <w:left w:val="outset" w:sz="6" w:space="0" w:color="auto"/>
              <w:bottom w:val="outset" w:sz="6" w:space="0" w:color="auto"/>
              <w:right w:val="outset" w:sz="6" w:space="0" w:color="auto"/>
            </w:tcBorders>
            <w:vAlign w:val="center"/>
          </w:tcPr>
          <w:p w14:paraId="5801A77E" w14:textId="77777777" w:rsidR="00BC7F5F" w:rsidRPr="00444036" w:rsidRDefault="00BC7F5F" w:rsidP="00802696">
            <w:pPr>
              <w:jc w:val="right"/>
              <w:rPr>
                <w:rFonts w:eastAsia="Times New Roman" w:cs="Arial"/>
                <w:sz w:val="22"/>
              </w:rPr>
            </w:pPr>
            <w:r w:rsidRPr="00444036">
              <w:rPr>
                <w:rFonts w:eastAsia="Times New Roman" w:cs="Arial"/>
                <w:sz w:val="22"/>
              </w:rPr>
              <w:t>38</w:t>
            </w:r>
          </w:p>
        </w:tc>
        <w:tc>
          <w:tcPr>
            <w:cnfStyle w:val="000100000000" w:firstRow="0" w:lastRow="0" w:firstColumn="0" w:lastColumn="1" w:oddVBand="0" w:evenVBand="0" w:oddHBand="0" w:evenHBand="0" w:firstRowFirstColumn="0" w:firstRowLastColumn="0" w:lastRowFirstColumn="0" w:lastRowLastColumn="0"/>
            <w:tcW w:w="3580" w:type="dxa"/>
            <w:vAlign w:val="center"/>
          </w:tcPr>
          <w:p w14:paraId="5283645D" w14:textId="77777777" w:rsidR="00BC7F5F" w:rsidRPr="00444036" w:rsidRDefault="00802696" w:rsidP="00802696">
            <w:pPr>
              <w:spacing w:beforeAutospacing="1" w:afterAutospacing="1"/>
              <w:jc w:val="right"/>
              <w:rPr>
                <w:b w:val="0"/>
                <w:sz w:val="22"/>
              </w:rPr>
            </w:pPr>
            <w:r w:rsidRPr="00444036">
              <w:rPr>
                <w:b w:val="0"/>
                <w:sz w:val="22"/>
              </w:rPr>
              <w:t>40</w:t>
            </w:r>
          </w:p>
        </w:tc>
      </w:tr>
      <w:tr w:rsidR="00BC7F5F" w:rsidRPr="00802696" w14:paraId="60176928" w14:textId="77777777" w:rsidTr="00802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3" w:type="dxa"/>
          </w:tcPr>
          <w:p w14:paraId="55A49E6C" w14:textId="77777777" w:rsidR="00BC7F5F" w:rsidRPr="00802696" w:rsidRDefault="00BC7F5F" w:rsidP="00BC7F5F">
            <w:pPr>
              <w:spacing w:beforeAutospacing="1" w:afterAutospacing="1"/>
              <w:rPr>
                <w:b w:val="0"/>
                <w:sz w:val="22"/>
              </w:rPr>
            </w:pPr>
            <w:r w:rsidRPr="00802696">
              <w:rPr>
                <w:b w:val="0"/>
                <w:color w:val="000000"/>
                <w:sz w:val="22"/>
              </w:rPr>
              <w:t>Units provided in permanent housing facilities developed, leased, or operated with HOPWA funds</w:t>
            </w:r>
          </w:p>
        </w:tc>
        <w:tc>
          <w:tcPr>
            <w:cnfStyle w:val="000010000000" w:firstRow="0" w:lastRow="0" w:firstColumn="0" w:lastColumn="0" w:oddVBand="1" w:evenVBand="0" w:oddHBand="0" w:evenHBand="0" w:firstRowFirstColumn="0" w:firstRowLastColumn="0" w:lastRowFirstColumn="0" w:lastRowLastColumn="0"/>
            <w:tcW w:w="3787" w:type="dxa"/>
            <w:tcBorders>
              <w:top w:val="outset" w:sz="6" w:space="0" w:color="auto"/>
              <w:left w:val="outset" w:sz="6" w:space="0" w:color="auto"/>
              <w:bottom w:val="outset" w:sz="6" w:space="0" w:color="auto"/>
              <w:right w:val="outset" w:sz="6" w:space="0" w:color="auto"/>
            </w:tcBorders>
            <w:vAlign w:val="center"/>
          </w:tcPr>
          <w:p w14:paraId="275E7E96" w14:textId="77777777" w:rsidR="00BC7F5F" w:rsidRPr="00444036" w:rsidRDefault="00802696" w:rsidP="00802696">
            <w:pPr>
              <w:jc w:val="right"/>
              <w:rPr>
                <w:rFonts w:eastAsia="Times New Roman" w:cs="Arial"/>
                <w:sz w:val="22"/>
              </w:rPr>
            </w:pPr>
            <w:r w:rsidRPr="00444036">
              <w:rPr>
                <w:rFonts w:eastAsia="Times New Roman" w:cs="Arial"/>
                <w:sz w:val="22"/>
              </w:rPr>
              <w:t>50</w:t>
            </w:r>
          </w:p>
        </w:tc>
        <w:tc>
          <w:tcPr>
            <w:cnfStyle w:val="000100000000" w:firstRow="0" w:lastRow="0" w:firstColumn="0" w:lastColumn="1" w:oddVBand="0" w:evenVBand="0" w:oddHBand="0" w:evenHBand="0" w:firstRowFirstColumn="0" w:firstRowLastColumn="0" w:lastRowFirstColumn="0" w:lastRowLastColumn="0"/>
            <w:tcW w:w="3580" w:type="dxa"/>
            <w:vAlign w:val="center"/>
          </w:tcPr>
          <w:p w14:paraId="6F2B02CD" w14:textId="77777777" w:rsidR="00BC7F5F" w:rsidRPr="00444036" w:rsidRDefault="00BC7F5F" w:rsidP="00802696">
            <w:pPr>
              <w:spacing w:beforeAutospacing="1" w:afterAutospacing="1"/>
              <w:jc w:val="right"/>
              <w:rPr>
                <w:b w:val="0"/>
                <w:sz w:val="22"/>
              </w:rPr>
            </w:pPr>
            <w:r w:rsidRPr="00444036">
              <w:rPr>
                <w:b w:val="0"/>
                <w:sz w:val="22"/>
              </w:rPr>
              <w:t>X</w:t>
            </w:r>
          </w:p>
        </w:tc>
      </w:tr>
      <w:tr w:rsidR="00BC7F5F" w:rsidRPr="00802696" w14:paraId="1CF770D1" w14:textId="77777777" w:rsidTr="00802696">
        <w:tc>
          <w:tcPr>
            <w:cnfStyle w:val="001000000000" w:firstRow="0" w:lastRow="0" w:firstColumn="1" w:lastColumn="0" w:oddVBand="0" w:evenVBand="0" w:oddHBand="0" w:evenHBand="0" w:firstRowFirstColumn="0" w:firstRowLastColumn="0" w:lastRowFirstColumn="0" w:lastRowLastColumn="0"/>
            <w:tcW w:w="7023" w:type="dxa"/>
          </w:tcPr>
          <w:p w14:paraId="7D2A18F1" w14:textId="77777777" w:rsidR="00BC7F5F" w:rsidRPr="00802696" w:rsidRDefault="00BC7F5F" w:rsidP="00BC7F5F">
            <w:pPr>
              <w:spacing w:beforeAutospacing="1" w:afterAutospacing="1"/>
              <w:rPr>
                <w:b w:val="0"/>
                <w:sz w:val="22"/>
              </w:rPr>
            </w:pPr>
            <w:r w:rsidRPr="00802696">
              <w:rPr>
                <w:b w:val="0"/>
                <w:color w:val="000000"/>
                <w:sz w:val="22"/>
              </w:rPr>
              <w:t>Units provided in transitional short-term housing facilities developed, leased, or operated with HOPWA funds</w:t>
            </w:r>
          </w:p>
        </w:tc>
        <w:tc>
          <w:tcPr>
            <w:cnfStyle w:val="000010000000" w:firstRow="0" w:lastRow="0" w:firstColumn="0" w:lastColumn="0" w:oddVBand="1" w:evenVBand="0" w:oddHBand="0" w:evenHBand="0" w:firstRowFirstColumn="0" w:firstRowLastColumn="0" w:lastRowFirstColumn="0" w:lastRowLastColumn="0"/>
            <w:tcW w:w="3787" w:type="dxa"/>
            <w:tcBorders>
              <w:top w:val="outset" w:sz="6" w:space="0" w:color="auto"/>
              <w:left w:val="outset" w:sz="6" w:space="0" w:color="auto"/>
              <w:bottom w:val="outset" w:sz="6" w:space="0" w:color="auto"/>
              <w:right w:val="outset" w:sz="6" w:space="0" w:color="auto"/>
            </w:tcBorders>
            <w:vAlign w:val="center"/>
          </w:tcPr>
          <w:p w14:paraId="530BC797" w14:textId="77777777" w:rsidR="00BC7F5F" w:rsidRPr="00444036" w:rsidRDefault="00802696" w:rsidP="00802696">
            <w:pPr>
              <w:jc w:val="right"/>
              <w:rPr>
                <w:rFonts w:eastAsia="Times New Roman" w:cs="Arial"/>
                <w:sz w:val="22"/>
              </w:rPr>
            </w:pPr>
            <w:r w:rsidRPr="00444036">
              <w:rPr>
                <w:rFonts w:eastAsia="Times New Roman" w:cs="Arial"/>
                <w:sz w:val="22"/>
              </w:rPr>
              <w:t>N/A</w:t>
            </w:r>
          </w:p>
        </w:tc>
        <w:tc>
          <w:tcPr>
            <w:cnfStyle w:val="000100000000" w:firstRow="0" w:lastRow="0" w:firstColumn="0" w:lastColumn="1" w:oddVBand="0" w:evenVBand="0" w:oddHBand="0" w:evenHBand="0" w:firstRowFirstColumn="0" w:firstRowLastColumn="0" w:lastRowFirstColumn="0" w:lastRowLastColumn="0"/>
            <w:tcW w:w="3580" w:type="dxa"/>
            <w:vAlign w:val="center"/>
          </w:tcPr>
          <w:p w14:paraId="05F4D762" w14:textId="77777777" w:rsidR="00BC7F5F" w:rsidRPr="00444036" w:rsidRDefault="00802696" w:rsidP="00802696">
            <w:pPr>
              <w:spacing w:beforeAutospacing="1" w:afterAutospacing="1"/>
              <w:jc w:val="right"/>
              <w:rPr>
                <w:b w:val="0"/>
                <w:sz w:val="22"/>
              </w:rPr>
            </w:pPr>
            <w:r w:rsidRPr="00444036">
              <w:rPr>
                <w:b w:val="0"/>
                <w:sz w:val="22"/>
              </w:rPr>
              <w:t xml:space="preserve">N/A </w:t>
            </w:r>
          </w:p>
        </w:tc>
      </w:tr>
      <w:tr w:rsidR="00BC7F5F" w:rsidRPr="00802696" w14:paraId="716760B7" w14:textId="77777777" w:rsidTr="00802696">
        <w:trPr>
          <w:cnfStyle w:val="010000000000" w:firstRow="0" w:lastRow="1"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7023" w:type="dxa"/>
            <w:vAlign w:val="center"/>
          </w:tcPr>
          <w:p w14:paraId="5BAFCDD4" w14:textId="77777777" w:rsidR="00BC7F5F" w:rsidRPr="00802696" w:rsidRDefault="00BC7F5F" w:rsidP="00BC7F5F">
            <w:pPr>
              <w:spacing w:beforeAutospacing="1" w:afterAutospacing="1"/>
              <w:rPr>
                <w:rFonts w:cs="Arial"/>
                <w:color w:val="000000" w:themeColor="text1"/>
                <w:sz w:val="22"/>
              </w:rPr>
            </w:pPr>
            <w:r w:rsidRPr="00802696">
              <w:rPr>
                <w:rFonts w:cs="Arial"/>
                <w:color w:val="000000" w:themeColor="text1"/>
                <w:sz w:val="22"/>
              </w:rPr>
              <w:t>Total</w:t>
            </w:r>
          </w:p>
        </w:tc>
        <w:tc>
          <w:tcPr>
            <w:cnfStyle w:val="000010000000" w:firstRow="0" w:lastRow="0" w:firstColumn="0" w:lastColumn="0" w:oddVBand="1" w:evenVBand="0" w:oddHBand="0" w:evenHBand="0" w:firstRowFirstColumn="0" w:firstRowLastColumn="0" w:lastRowFirstColumn="0" w:lastRowLastColumn="0"/>
            <w:tcW w:w="3787" w:type="dxa"/>
            <w:tcBorders>
              <w:top w:val="outset" w:sz="6" w:space="0" w:color="auto"/>
              <w:left w:val="outset" w:sz="6" w:space="0" w:color="auto"/>
              <w:bottom w:val="outset" w:sz="6" w:space="0" w:color="auto"/>
              <w:right w:val="outset" w:sz="6" w:space="0" w:color="auto"/>
            </w:tcBorders>
            <w:vAlign w:val="center"/>
          </w:tcPr>
          <w:p w14:paraId="027817EF" w14:textId="77777777" w:rsidR="00BC7F5F" w:rsidRPr="00444036" w:rsidRDefault="00BC7F5F" w:rsidP="00802696">
            <w:pPr>
              <w:jc w:val="right"/>
              <w:rPr>
                <w:rFonts w:eastAsia="Times New Roman" w:cs="Arial"/>
                <w:sz w:val="22"/>
              </w:rPr>
            </w:pPr>
            <w:r w:rsidRPr="00444036">
              <w:rPr>
                <w:rFonts w:eastAsia="Times New Roman" w:cs="Arial"/>
                <w:sz w:val="22"/>
              </w:rPr>
              <w:t>79</w:t>
            </w:r>
            <w:r w:rsidR="00802696" w:rsidRPr="00444036">
              <w:rPr>
                <w:rFonts w:eastAsia="Times New Roman" w:cs="Arial"/>
                <w:sz w:val="22"/>
              </w:rPr>
              <w:t>0</w:t>
            </w:r>
          </w:p>
        </w:tc>
        <w:tc>
          <w:tcPr>
            <w:cnfStyle w:val="000100000000" w:firstRow="0" w:lastRow="0" w:firstColumn="0" w:lastColumn="1" w:oddVBand="0" w:evenVBand="0" w:oddHBand="0" w:evenHBand="0" w:firstRowFirstColumn="0" w:firstRowLastColumn="0" w:lastRowFirstColumn="0" w:lastRowLastColumn="0"/>
            <w:tcW w:w="3580" w:type="dxa"/>
            <w:vAlign w:val="center"/>
          </w:tcPr>
          <w:p w14:paraId="543ADE1A" w14:textId="77777777" w:rsidR="00BC7F5F" w:rsidRPr="00444036" w:rsidRDefault="00802696" w:rsidP="00802696">
            <w:pPr>
              <w:spacing w:beforeAutospacing="1" w:afterAutospacing="1"/>
              <w:jc w:val="right"/>
              <w:rPr>
                <w:rFonts w:cs="Arial"/>
                <w:sz w:val="22"/>
              </w:rPr>
            </w:pPr>
            <w:r w:rsidRPr="00444036">
              <w:rPr>
                <w:rFonts w:cs="Arial"/>
                <w:sz w:val="22"/>
              </w:rPr>
              <w:t>715</w:t>
            </w:r>
          </w:p>
        </w:tc>
      </w:tr>
    </w:tbl>
    <w:p w14:paraId="25F63216" w14:textId="77777777" w:rsidR="00683C69" w:rsidRPr="00444036" w:rsidRDefault="00683C69" w:rsidP="00683C69">
      <w:pPr>
        <w:pStyle w:val="Caption"/>
        <w:jc w:val="center"/>
        <w:rPr>
          <w:rFonts w:ascii="Arial" w:hAnsi="Arial" w:cs="Arial"/>
          <w:sz w:val="16"/>
          <w:szCs w:val="22"/>
        </w:rPr>
      </w:pPr>
      <w:r w:rsidRPr="00444036">
        <w:rPr>
          <w:rFonts w:ascii="Arial" w:hAnsi="Arial" w:cs="Arial"/>
          <w:sz w:val="16"/>
          <w:szCs w:val="22"/>
        </w:rPr>
        <w:t xml:space="preserve">Table </w:t>
      </w:r>
      <w:r w:rsidRPr="00444036">
        <w:rPr>
          <w:rFonts w:ascii="Arial" w:hAnsi="Arial" w:cs="Arial"/>
          <w:sz w:val="16"/>
          <w:szCs w:val="22"/>
        </w:rPr>
        <w:fldChar w:fldCharType="begin"/>
      </w:r>
      <w:r w:rsidRPr="00444036">
        <w:rPr>
          <w:rFonts w:ascii="Arial" w:hAnsi="Arial" w:cs="Arial"/>
          <w:sz w:val="16"/>
          <w:szCs w:val="22"/>
        </w:rPr>
        <w:instrText xml:space="preserve"> SEQ Table \* ARABIC </w:instrText>
      </w:r>
      <w:r w:rsidRPr="00444036">
        <w:rPr>
          <w:rFonts w:ascii="Arial" w:hAnsi="Arial" w:cs="Arial"/>
          <w:sz w:val="16"/>
          <w:szCs w:val="22"/>
        </w:rPr>
        <w:fldChar w:fldCharType="separate"/>
      </w:r>
      <w:r w:rsidR="00AA534C" w:rsidRPr="00444036">
        <w:rPr>
          <w:rFonts w:ascii="Arial" w:hAnsi="Arial" w:cs="Arial"/>
          <w:noProof/>
          <w:sz w:val="16"/>
          <w:szCs w:val="22"/>
        </w:rPr>
        <w:t>10</w:t>
      </w:r>
      <w:r w:rsidRPr="00444036">
        <w:rPr>
          <w:rFonts w:ascii="Arial" w:hAnsi="Arial" w:cs="Arial"/>
          <w:sz w:val="16"/>
          <w:szCs w:val="22"/>
        </w:rPr>
        <w:fldChar w:fldCharType="end"/>
      </w:r>
      <w:r w:rsidRPr="00444036">
        <w:rPr>
          <w:rFonts w:ascii="Arial" w:hAnsi="Arial" w:cs="Arial"/>
          <w:sz w:val="16"/>
          <w:szCs w:val="22"/>
        </w:rPr>
        <w:t xml:space="preserve"> – HOPWA Number of Households Served</w:t>
      </w:r>
    </w:p>
    <w:p w14:paraId="70EC3527" w14:textId="77777777" w:rsidR="00683C69" w:rsidRPr="00802696" w:rsidRDefault="00683C69" w:rsidP="00757E30">
      <w:pPr>
        <w:pStyle w:val="Default"/>
        <w:rPr>
          <w:rFonts w:ascii="Arial" w:hAnsi="Arial" w:cs="Arial"/>
          <w:sz w:val="22"/>
          <w:szCs w:val="22"/>
        </w:rPr>
      </w:pPr>
    </w:p>
    <w:p w14:paraId="30C01E18" w14:textId="77777777" w:rsidR="00757E30" w:rsidRDefault="00757E30" w:rsidP="00757E30">
      <w:pPr>
        <w:pStyle w:val="Default"/>
        <w:rPr>
          <w:rFonts w:ascii="Arial" w:hAnsi="Arial" w:cs="Arial"/>
        </w:rPr>
      </w:pPr>
    </w:p>
    <w:p w14:paraId="554F3B2F" w14:textId="77777777" w:rsidR="00757E30" w:rsidRPr="002E4D24" w:rsidRDefault="002E4D24" w:rsidP="00757E30">
      <w:pPr>
        <w:pStyle w:val="Default"/>
        <w:rPr>
          <w:rFonts w:ascii="Arial" w:hAnsi="Arial" w:cs="Arial"/>
          <w:b/>
          <w:color w:val="auto"/>
          <w:u w:val="single"/>
        </w:rPr>
      </w:pPr>
      <w:r w:rsidRPr="002E4D24">
        <w:rPr>
          <w:rFonts w:ascii="Arial" w:hAnsi="Arial" w:cs="Arial"/>
          <w:b/>
          <w:color w:val="auto"/>
          <w:u w:val="single"/>
        </w:rPr>
        <w:t xml:space="preserve">NARRATIVE: </w:t>
      </w:r>
    </w:p>
    <w:p w14:paraId="5B9E6A51" w14:textId="77777777" w:rsidR="00AC5558" w:rsidRDefault="00AC5558" w:rsidP="00757E30">
      <w:pPr>
        <w:pStyle w:val="Default"/>
        <w:rPr>
          <w:rFonts w:ascii="Arial" w:hAnsi="Arial" w:cs="Arial"/>
          <w:color w:val="22384E" w:themeColor="accent3" w:themeShade="80"/>
        </w:rPr>
      </w:pPr>
    </w:p>
    <w:p w14:paraId="67618302" w14:textId="77777777" w:rsidR="00AC5558" w:rsidRPr="00AC5558" w:rsidRDefault="00AC5558" w:rsidP="00AC5558">
      <w:pPr>
        <w:widowControl w:val="0"/>
        <w:rPr>
          <w:rFonts w:cs="Arial"/>
          <w:color w:val="FF3399"/>
          <w:szCs w:val="24"/>
        </w:rPr>
      </w:pPr>
      <w:r w:rsidRPr="003D517D">
        <w:rPr>
          <w:rFonts w:cs="Arial"/>
          <w:szCs w:val="24"/>
        </w:rPr>
        <w:t xml:space="preserve">During FY 2016-17, </w:t>
      </w:r>
      <w:r w:rsidR="008B4DF9">
        <w:rPr>
          <w:rFonts w:cs="Arial"/>
          <w:szCs w:val="24"/>
        </w:rPr>
        <w:t>S</w:t>
      </w:r>
      <w:r w:rsidR="008B4DF9" w:rsidRPr="00C303FD">
        <w:rPr>
          <w:rFonts w:cs="Arial"/>
          <w:szCs w:val="24"/>
        </w:rPr>
        <w:t>hor</w:t>
      </w:r>
      <w:r w:rsidR="008B4DF9">
        <w:rPr>
          <w:rFonts w:cs="Arial"/>
          <w:szCs w:val="24"/>
        </w:rPr>
        <w:t>t-term Rent, M</w:t>
      </w:r>
      <w:r w:rsidR="008B4DF9" w:rsidRPr="00C303FD">
        <w:rPr>
          <w:rFonts w:cs="Arial"/>
          <w:szCs w:val="24"/>
        </w:rPr>
        <w:t xml:space="preserve">ortgage, and </w:t>
      </w:r>
      <w:r w:rsidR="008B4DF9">
        <w:rPr>
          <w:rFonts w:cs="Arial"/>
          <w:szCs w:val="24"/>
        </w:rPr>
        <w:t>Utility (</w:t>
      </w:r>
      <w:r w:rsidRPr="008B4DF9">
        <w:rPr>
          <w:rFonts w:cs="Arial"/>
          <w:szCs w:val="24"/>
        </w:rPr>
        <w:t>STRMU</w:t>
      </w:r>
      <w:r w:rsidR="008B4DF9">
        <w:rPr>
          <w:rFonts w:cs="Arial"/>
          <w:szCs w:val="24"/>
        </w:rPr>
        <w:t>) assistance</w:t>
      </w:r>
      <w:r w:rsidRPr="003D517D">
        <w:rPr>
          <w:rFonts w:cs="Arial"/>
          <w:szCs w:val="24"/>
        </w:rPr>
        <w:t xml:space="preserve"> was made available to </w:t>
      </w:r>
      <w:r w:rsidR="00802696">
        <w:rPr>
          <w:rFonts w:cs="Arial"/>
          <w:b/>
          <w:szCs w:val="24"/>
        </w:rPr>
        <w:t>631</w:t>
      </w:r>
      <w:r w:rsidR="00802696" w:rsidRPr="00802696">
        <w:rPr>
          <w:rFonts w:cs="Arial"/>
          <w:b/>
          <w:szCs w:val="24"/>
        </w:rPr>
        <w:t xml:space="preserve"> </w:t>
      </w:r>
      <w:r w:rsidR="00663735">
        <w:rPr>
          <w:rFonts w:cs="Arial"/>
          <w:b/>
          <w:szCs w:val="24"/>
        </w:rPr>
        <w:t>PLWH</w:t>
      </w:r>
      <w:r w:rsidRPr="003D517D">
        <w:rPr>
          <w:rFonts w:cs="Arial"/>
          <w:szCs w:val="24"/>
        </w:rPr>
        <w:t xml:space="preserve"> residing within the 40-county service area. In addition, </w:t>
      </w:r>
      <w:r w:rsidRPr="00680D31">
        <w:rPr>
          <w:rFonts w:cs="Arial"/>
          <w:szCs w:val="24"/>
        </w:rPr>
        <w:t>two</w:t>
      </w:r>
      <w:r w:rsidRPr="003D517D">
        <w:rPr>
          <w:rFonts w:cs="Arial"/>
          <w:szCs w:val="24"/>
        </w:rPr>
        <w:t xml:space="preserve"> project sponsors provided</w:t>
      </w:r>
      <w:r w:rsidR="003D517D">
        <w:rPr>
          <w:rFonts w:cs="Arial"/>
          <w:szCs w:val="24"/>
        </w:rPr>
        <w:t xml:space="preserve"> Tenant Based Rental Assistance</w:t>
      </w:r>
      <w:r w:rsidRPr="003D517D">
        <w:rPr>
          <w:rFonts w:cs="Arial"/>
          <w:szCs w:val="24"/>
        </w:rPr>
        <w:t xml:space="preserve"> </w:t>
      </w:r>
      <w:r w:rsidR="003D517D">
        <w:rPr>
          <w:rFonts w:cs="Arial"/>
          <w:szCs w:val="24"/>
        </w:rPr>
        <w:t>(</w:t>
      </w:r>
      <w:r w:rsidRPr="003D517D">
        <w:rPr>
          <w:rFonts w:cs="Arial"/>
          <w:szCs w:val="24"/>
        </w:rPr>
        <w:t>TBRA</w:t>
      </w:r>
      <w:r w:rsidR="003D517D">
        <w:rPr>
          <w:rFonts w:cs="Arial"/>
          <w:szCs w:val="24"/>
        </w:rPr>
        <w:t>)</w:t>
      </w:r>
      <w:r w:rsidRPr="003D517D">
        <w:rPr>
          <w:rFonts w:cs="Arial"/>
          <w:szCs w:val="24"/>
        </w:rPr>
        <w:t xml:space="preserve">.  </w:t>
      </w:r>
      <w:r w:rsidRPr="00680D31">
        <w:rPr>
          <w:rFonts w:cs="Arial"/>
          <w:szCs w:val="24"/>
        </w:rPr>
        <w:t>Two agencies</w:t>
      </w:r>
      <w:r w:rsidRPr="003D517D">
        <w:rPr>
          <w:rFonts w:cs="Arial"/>
          <w:szCs w:val="24"/>
        </w:rPr>
        <w:t xml:space="preserve"> provided transitional housing to help clients maintain stable housing, and </w:t>
      </w:r>
      <w:r w:rsidRPr="00680D31">
        <w:rPr>
          <w:rFonts w:cs="Arial"/>
          <w:szCs w:val="24"/>
        </w:rPr>
        <w:t>eight agencies</w:t>
      </w:r>
      <w:r w:rsidRPr="003D517D">
        <w:rPr>
          <w:rFonts w:cs="Arial"/>
          <w:szCs w:val="24"/>
        </w:rPr>
        <w:t xml:space="preserve"> provided emergency housing through hotel/motel voucher assistance.  Expenditures for TBRA decreased significantly due to a loss of three project sponsors (Kern, Fresno Housing Authority and Fresno Public Health) due to</w:t>
      </w:r>
      <w:r w:rsidR="0063570A">
        <w:rPr>
          <w:rFonts w:cs="Arial"/>
          <w:szCs w:val="24"/>
        </w:rPr>
        <w:t xml:space="preserve"> Eligible Metropolitan Statistical Areas</w:t>
      </w:r>
      <w:r w:rsidRPr="003D517D">
        <w:rPr>
          <w:rFonts w:cs="Arial"/>
          <w:szCs w:val="24"/>
        </w:rPr>
        <w:t xml:space="preserve"> </w:t>
      </w:r>
      <w:r w:rsidR="0063570A">
        <w:rPr>
          <w:rFonts w:cs="Arial"/>
          <w:szCs w:val="24"/>
        </w:rPr>
        <w:t>(</w:t>
      </w:r>
      <w:r w:rsidRPr="0063570A">
        <w:rPr>
          <w:rFonts w:cs="Arial"/>
          <w:szCs w:val="24"/>
        </w:rPr>
        <w:t>EMSA</w:t>
      </w:r>
      <w:r w:rsidR="0063570A">
        <w:rPr>
          <w:rFonts w:cs="Arial"/>
          <w:szCs w:val="24"/>
        </w:rPr>
        <w:t>)</w:t>
      </w:r>
      <w:r w:rsidRPr="003D517D">
        <w:rPr>
          <w:rFonts w:cs="Arial"/>
          <w:szCs w:val="24"/>
        </w:rPr>
        <w:t xml:space="preserve"> status.  One project sponsor declined to offer TBRA this fiscal year.  Some project sponsors assisted clients in locating and securing housing through housing information services and/or security deposit assistance. </w:t>
      </w:r>
      <w:r w:rsidR="008B4DF9">
        <w:rPr>
          <w:rFonts w:cs="Arial"/>
          <w:szCs w:val="24"/>
        </w:rPr>
        <w:t xml:space="preserve"> </w:t>
      </w:r>
      <w:r w:rsidRPr="003D517D">
        <w:rPr>
          <w:rFonts w:cs="Arial"/>
          <w:szCs w:val="24"/>
        </w:rPr>
        <w:t>All sponsors provided case management and other supportive services, funded through HOPWA or other resources such as the federal Ryan White Part B program. Sponsors representing the 40-county area expended funds by activity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658"/>
      </w:tblGrid>
      <w:tr w:rsidR="00AC5558" w:rsidRPr="00AC5558" w14:paraId="40758211" w14:textId="77777777" w:rsidTr="00172ED7">
        <w:tc>
          <w:tcPr>
            <w:tcW w:w="1008" w:type="dxa"/>
          </w:tcPr>
          <w:p w14:paraId="22EBDEE9" w14:textId="77777777" w:rsidR="00AC5558" w:rsidRPr="003C7CC1" w:rsidRDefault="00802696" w:rsidP="00172ED7">
            <w:pPr>
              <w:widowControl w:val="0"/>
              <w:jc w:val="center"/>
              <w:rPr>
                <w:rFonts w:ascii="Arial" w:hAnsi="Arial" w:cs="Arial"/>
                <w:sz w:val="24"/>
                <w:szCs w:val="24"/>
              </w:rPr>
            </w:pPr>
            <w:r>
              <w:rPr>
                <w:rFonts w:ascii="Arial" w:hAnsi="Arial" w:cs="Arial"/>
                <w:sz w:val="24"/>
                <w:szCs w:val="24"/>
              </w:rPr>
              <w:t>16</w:t>
            </w:r>
            <w:r w:rsidR="00AC5558" w:rsidRPr="003C7CC1">
              <w:rPr>
                <w:rFonts w:ascii="Arial" w:hAnsi="Arial" w:cs="Arial"/>
                <w:sz w:val="24"/>
                <w:szCs w:val="24"/>
              </w:rPr>
              <w:t>%</w:t>
            </w:r>
          </w:p>
        </w:tc>
        <w:tc>
          <w:tcPr>
            <w:tcW w:w="8658" w:type="dxa"/>
          </w:tcPr>
          <w:p w14:paraId="4DD35BCC" w14:textId="77777777" w:rsidR="00AC5558" w:rsidRPr="003C7CC1" w:rsidRDefault="00AC5558" w:rsidP="00172ED7">
            <w:pPr>
              <w:widowControl w:val="0"/>
              <w:rPr>
                <w:rFonts w:ascii="Arial" w:hAnsi="Arial" w:cs="Arial"/>
                <w:sz w:val="24"/>
                <w:szCs w:val="24"/>
              </w:rPr>
            </w:pPr>
            <w:r w:rsidRPr="003C7CC1">
              <w:rPr>
                <w:rFonts w:ascii="Arial" w:hAnsi="Arial" w:cs="Arial"/>
                <w:sz w:val="24"/>
                <w:szCs w:val="24"/>
              </w:rPr>
              <w:t>= TBRA</w:t>
            </w:r>
          </w:p>
        </w:tc>
      </w:tr>
      <w:tr w:rsidR="00AC5558" w:rsidRPr="00AC5558" w14:paraId="54213D9C" w14:textId="77777777" w:rsidTr="00172ED7">
        <w:tc>
          <w:tcPr>
            <w:tcW w:w="1008" w:type="dxa"/>
          </w:tcPr>
          <w:p w14:paraId="770BA1A9" w14:textId="77777777" w:rsidR="00AC5558" w:rsidRPr="003C7CC1" w:rsidRDefault="00802696" w:rsidP="00172ED7">
            <w:pPr>
              <w:widowControl w:val="0"/>
              <w:jc w:val="center"/>
              <w:rPr>
                <w:rFonts w:ascii="Arial" w:hAnsi="Arial" w:cs="Arial"/>
                <w:sz w:val="24"/>
                <w:szCs w:val="24"/>
              </w:rPr>
            </w:pPr>
            <w:r>
              <w:rPr>
                <w:rFonts w:ascii="Arial" w:hAnsi="Arial" w:cs="Arial"/>
                <w:sz w:val="24"/>
                <w:szCs w:val="24"/>
              </w:rPr>
              <w:t>40</w:t>
            </w:r>
            <w:r w:rsidR="00AC5558" w:rsidRPr="003C7CC1">
              <w:rPr>
                <w:rFonts w:ascii="Arial" w:hAnsi="Arial" w:cs="Arial"/>
                <w:sz w:val="24"/>
                <w:szCs w:val="24"/>
              </w:rPr>
              <w:t>%</w:t>
            </w:r>
          </w:p>
        </w:tc>
        <w:tc>
          <w:tcPr>
            <w:tcW w:w="8658" w:type="dxa"/>
          </w:tcPr>
          <w:p w14:paraId="1445C848" w14:textId="77777777" w:rsidR="00AC5558" w:rsidRPr="003C7CC1" w:rsidRDefault="00AC5558" w:rsidP="00172ED7">
            <w:pPr>
              <w:widowControl w:val="0"/>
              <w:rPr>
                <w:rFonts w:ascii="Arial" w:hAnsi="Arial" w:cs="Arial"/>
                <w:sz w:val="24"/>
                <w:szCs w:val="24"/>
              </w:rPr>
            </w:pPr>
            <w:r w:rsidRPr="003C7CC1">
              <w:rPr>
                <w:rFonts w:ascii="Arial" w:hAnsi="Arial" w:cs="Arial"/>
                <w:sz w:val="24"/>
                <w:szCs w:val="24"/>
              </w:rPr>
              <w:t>= STRMU</w:t>
            </w:r>
          </w:p>
        </w:tc>
      </w:tr>
      <w:tr w:rsidR="00AC5558" w:rsidRPr="00AC5558" w14:paraId="1C23C8A7" w14:textId="77777777" w:rsidTr="00172ED7">
        <w:tc>
          <w:tcPr>
            <w:tcW w:w="1008" w:type="dxa"/>
          </w:tcPr>
          <w:p w14:paraId="1A456024" w14:textId="77777777" w:rsidR="00AC5558" w:rsidRPr="003C7CC1" w:rsidRDefault="00802696" w:rsidP="00172ED7">
            <w:pPr>
              <w:widowControl w:val="0"/>
              <w:jc w:val="center"/>
              <w:rPr>
                <w:rFonts w:ascii="Arial" w:hAnsi="Arial" w:cs="Arial"/>
                <w:sz w:val="24"/>
                <w:szCs w:val="24"/>
              </w:rPr>
            </w:pPr>
            <w:r>
              <w:rPr>
                <w:rFonts w:ascii="Arial" w:hAnsi="Arial" w:cs="Arial"/>
                <w:sz w:val="24"/>
                <w:szCs w:val="24"/>
              </w:rPr>
              <w:lastRenderedPageBreak/>
              <w:t>1</w:t>
            </w:r>
            <w:r w:rsidR="00AC5558" w:rsidRPr="003C7CC1">
              <w:rPr>
                <w:rFonts w:ascii="Arial" w:hAnsi="Arial" w:cs="Arial"/>
                <w:sz w:val="24"/>
                <w:szCs w:val="24"/>
              </w:rPr>
              <w:t>%</w:t>
            </w:r>
          </w:p>
        </w:tc>
        <w:tc>
          <w:tcPr>
            <w:tcW w:w="8658" w:type="dxa"/>
          </w:tcPr>
          <w:p w14:paraId="72861014" w14:textId="77777777" w:rsidR="00AC5558" w:rsidRPr="003C7CC1" w:rsidRDefault="00AC5558" w:rsidP="00172ED7">
            <w:pPr>
              <w:widowControl w:val="0"/>
              <w:rPr>
                <w:rFonts w:ascii="Arial" w:hAnsi="Arial" w:cs="Arial"/>
                <w:sz w:val="24"/>
                <w:szCs w:val="24"/>
              </w:rPr>
            </w:pPr>
            <w:r w:rsidRPr="003C7CC1">
              <w:rPr>
                <w:rFonts w:ascii="Arial" w:hAnsi="Arial" w:cs="Arial"/>
                <w:sz w:val="24"/>
                <w:szCs w:val="24"/>
              </w:rPr>
              <w:t>= Permanent housing placement assistance (e.g., security deposits, 1st month’s rent, credit checks, utility hookups)</w:t>
            </w:r>
          </w:p>
        </w:tc>
      </w:tr>
      <w:tr w:rsidR="00AC5558" w:rsidRPr="00AC5558" w14:paraId="50BD867E" w14:textId="77777777" w:rsidTr="00172ED7">
        <w:tc>
          <w:tcPr>
            <w:tcW w:w="1008" w:type="dxa"/>
          </w:tcPr>
          <w:p w14:paraId="23D56C09" w14:textId="77777777" w:rsidR="00AC5558" w:rsidRPr="003C7CC1" w:rsidRDefault="00802696" w:rsidP="00172ED7">
            <w:pPr>
              <w:widowControl w:val="0"/>
              <w:jc w:val="center"/>
              <w:rPr>
                <w:rFonts w:ascii="Arial" w:hAnsi="Arial" w:cs="Arial"/>
                <w:sz w:val="24"/>
                <w:szCs w:val="24"/>
              </w:rPr>
            </w:pPr>
            <w:r>
              <w:rPr>
                <w:rFonts w:ascii="Arial" w:hAnsi="Arial" w:cs="Arial"/>
                <w:sz w:val="24"/>
                <w:szCs w:val="24"/>
              </w:rPr>
              <w:t>5</w:t>
            </w:r>
            <w:r w:rsidR="00AC5558" w:rsidRPr="003C7CC1">
              <w:rPr>
                <w:rFonts w:ascii="Arial" w:hAnsi="Arial" w:cs="Arial"/>
                <w:sz w:val="24"/>
                <w:szCs w:val="24"/>
              </w:rPr>
              <w:t>%</w:t>
            </w:r>
          </w:p>
        </w:tc>
        <w:tc>
          <w:tcPr>
            <w:tcW w:w="8658" w:type="dxa"/>
          </w:tcPr>
          <w:p w14:paraId="4D9E660B" w14:textId="77777777" w:rsidR="00AC5558" w:rsidRPr="003C7CC1" w:rsidRDefault="00AC5558" w:rsidP="00172ED7">
            <w:pPr>
              <w:widowControl w:val="0"/>
              <w:rPr>
                <w:rFonts w:ascii="Arial" w:hAnsi="Arial" w:cs="Arial"/>
                <w:sz w:val="24"/>
                <w:szCs w:val="24"/>
              </w:rPr>
            </w:pPr>
            <w:r w:rsidRPr="003C7CC1">
              <w:rPr>
                <w:rFonts w:ascii="Arial" w:hAnsi="Arial" w:cs="Arial"/>
                <w:sz w:val="24"/>
                <w:szCs w:val="24"/>
              </w:rPr>
              <w:t>= Facility based housing assistance (emergency or transitional housing)</w:t>
            </w:r>
          </w:p>
        </w:tc>
      </w:tr>
      <w:tr w:rsidR="00AC5558" w:rsidRPr="00AC5558" w14:paraId="2CDB7CE9" w14:textId="77777777" w:rsidTr="00172ED7">
        <w:tc>
          <w:tcPr>
            <w:tcW w:w="1008" w:type="dxa"/>
          </w:tcPr>
          <w:p w14:paraId="11DD6917" w14:textId="77777777" w:rsidR="00AC5558" w:rsidRPr="003C7CC1" w:rsidRDefault="00802696" w:rsidP="00172ED7">
            <w:pPr>
              <w:widowControl w:val="0"/>
              <w:jc w:val="center"/>
              <w:rPr>
                <w:rFonts w:ascii="Arial" w:hAnsi="Arial" w:cs="Arial"/>
                <w:sz w:val="24"/>
                <w:szCs w:val="24"/>
              </w:rPr>
            </w:pPr>
            <w:r>
              <w:rPr>
                <w:rFonts w:ascii="Arial" w:hAnsi="Arial" w:cs="Arial"/>
                <w:sz w:val="24"/>
                <w:szCs w:val="24"/>
              </w:rPr>
              <w:t>10</w:t>
            </w:r>
            <w:r w:rsidR="00AC5558" w:rsidRPr="003C7CC1">
              <w:rPr>
                <w:rFonts w:ascii="Arial" w:hAnsi="Arial" w:cs="Arial"/>
                <w:sz w:val="24"/>
                <w:szCs w:val="24"/>
              </w:rPr>
              <w:t>%</w:t>
            </w:r>
          </w:p>
        </w:tc>
        <w:tc>
          <w:tcPr>
            <w:tcW w:w="8658" w:type="dxa"/>
          </w:tcPr>
          <w:p w14:paraId="76155E9C" w14:textId="77777777" w:rsidR="00AC5558" w:rsidRPr="003C7CC1" w:rsidRDefault="00AC5558" w:rsidP="00172ED7">
            <w:pPr>
              <w:widowControl w:val="0"/>
              <w:rPr>
                <w:rFonts w:ascii="Arial" w:hAnsi="Arial" w:cs="Arial"/>
                <w:sz w:val="24"/>
                <w:szCs w:val="24"/>
              </w:rPr>
            </w:pPr>
            <w:r w:rsidRPr="003C7CC1">
              <w:rPr>
                <w:rFonts w:ascii="Arial" w:hAnsi="Arial" w:cs="Arial"/>
                <w:sz w:val="24"/>
                <w:szCs w:val="24"/>
              </w:rPr>
              <w:t>= Housing information services and resource identification.</w:t>
            </w:r>
          </w:p>
        </w:tc>
      </w:tr>
      <w:tr w:rsidR="00AC5558" w:rsidRPr="00AC5558" w14:paraId="085D06F1" w14:textId="77777777" w:rsidTr="00172ED7">
        <w:tc>
          <w:tcPr>
            <w:tcW w:w="1008" w:type="dxa"/>
          </w:tcPr>
          <w:p w14:paraId="7B53C265" w14:textId="77777777" w:rsidR="00AC5558" w:rsidRPr="003C7CC1" w:rsidRDefault="00802696" w:rsidP="00172ED7">
            <w:pPr>
              <w:widowControl w:val="0"/>
              <w:jc w:val="center"/>
              <w:rPr>
                <w:rFonts w:ascii="Arial" w:hAnsi="Arial" w:cs="Arial"/>
                <w:sz w:val="24"/>
                <w:szCs w:val="24"/>
              </w:rPr>
            </w:pPr>
            <w:r>
              <w:rPr>
                <w:rFonts w:ascii="Arial" w:hAnsi="Arial" w:cs="Arial"/>
                <w:sz w:val="24"/>
                <w:szCs w:val="24"/>
              </w:rPr>
              <w:t>16</w:t>
            </w:r>
            <w:r w:rsidR="00AC5558" w:rsidRPr="003C7CC1">
              <w:rPr>
                <w:rFonts w:ascii="Arial" w:hAnsi="Arial" w:cs="Arial"/>
                <w:sz w:val="24"/>
                <w:szCs w:val="24"/>
              </w:rPr>
              <w:t>%</w:t>
            </w:r>
          </w:p>
        </w:tc>
        <w:tc>
          <w:tcPr>
            <w:tcW w:w="8658" w:type="dxa"/>
          </w:tcPr>
          <w:p w14:paraId="57558F08" w14:textId="77777777" w:rsidR="00AC5558" w:rsidRPr="003C7CC1" w:rsidRDefault="00AC5558" w:rsidP="00172ED7">
            <w:pPr>
              <w:widowControl w:val="0"/>
              <w:rPr>
                <w:rFonts w:ascii="Arial" w:hAnsi="Arial" w:cs="Arial"/>
                <w:sz w:val="24"/>
                <w:szCs w:val="24"/>
              </w:rPr>
            </w:pPr>
            <w:r w:rsidRPr="003C7CC1">
              <w:rPr>
                <w:rFonts w:ascii="Arial" w:hAnsi="Arial" w:cs="Arial"/>
                <w:sz w:val="24"/>
                <w:szCs w:val="24"/>
              </w:rPr>
              <w:t xml:space="preserve">= Supportive services (e.g., case management, transportation, life skills, meals) </w:t>
            </w:r>
          </w:p>
        </w:tc>
      </w:tr>
    </w:tbl>
    <w:p w14:paraId="73E007A4" w14:textId="77777777" w:rsidR="00AC5558" w:rsidRPr="00AC5558" w:rsidRDefault="00AC5558" w:rsidP="00757E30">
      <w:pPr>
        <w:pStyle w:val="Default"/>
        <w:rPr>
          <w:rFonts w:ascii="Arial" w:hAnsi="Arial" w:cs="Arial"/>
          <w:color w:val="22384E" w:themeColor="accent3" w:themeShade="80"/>
        </w:rPr>
      </w:pPr>
    </w:p>
    <w:p w14:paraId="74921257" w14:textId="77777777" w:rsidR="00757E30" w:rsidRDefault="00757E30" w:rsidP="00757E30">
      <w:pPr>
        <w:pStyle w:val="Default"/>
        <w:rPr>
          <w:rFonts w:ascii="Arial" w:hAnsi="Arial" w:cs="Arial"/>
        </w:rPr>
      </w:pPr>
    </w:p>
    <w:p w14:paraId="22D685E0" w14:textId="77777777" w:rsidR="00683C69" w:rsidRDefault="00683C69" w:rsidP="00757E30">
      <w:pPr>
        <w:pStyle w:val="Default"/>
        <w:rPr>
          <w:rFonts w:ascii="Arial" w:hAnsi="Arial" w:cs="Arial"/>
        </w:rPr>
      </w:pPr>
    </w:p>
    <w:p w14:paraId="1ADA9601" w14:textId="77777777" w:rsidR="00683C69" w:rsidRDefault="00683C69" w:rsidP="00757E30">
      <w:pPr>
        <w:pStyle w:val="Default"/>
        <w:rPr>
          <w:rFonts w:ascii="Arial" w:hAnsi="Arial" w:cs="Arial"/>
        </w:rPr>
      </w:pPr>
    </w:p>
    <w:p w14:paraId="4EB95D9C" w14:textId="77777777" w:rsidR="00683C69" w:rsidRDefault="00683C69" w:rsidP="00757E30">
      <w:pPr>
        <w:pStyle w:val="Default"/>
        <w:rPr>
          <w:rFonts w:ascii="Arial" w:hAnsi="Arial" w:cs="Arial"/>
        </w:rPr>
      </w:pPr>
    </w:p>
    <w:p w14:paraId="3848FAD2" w14:textId="77777777" w:rsidR="00683C69" w:rsidRDefault="00683C69" w:rsidP="00757E30">
      <w:pPr>
        <w:pStyle w:val="Default"/>
        <w:rPr>
          <w:rFonts w:ascii="Arial" w:hAnsi="Arial" w:cs="Arial"/>
        </w:rPr>
      </w:pPr>
    </w:p>
    <w:p w14:paraId="62CB1943" w14:textId="77777777" w:rsidR="00683C69" w:rsidRPr="002E4D24" w:rsidRDefault="00AC720F" w:rsidP="002E4D24">
      <w:pPr>
        <w:rPr>
          <w:rFonts w:cs="Arial"/>
          <w:color w:val="000000"/>
          <w:szCs w:val="24"/>
        </w:rPr>
      </w:pPr>
      <w:r>
        <w:rPr>
          <w:rFonts w:cs="Arial"/>
        </w:rPr>
        <w:br w:type="page"/>
      </w:r>
    </w:p>
    <w:p w14:paraId="24950A6A" w14:textId="77777777" w:rsidR="00190CB2" w:rsidRPr="002E4D24" w:rsidRDefault="00190CB2" w:rsidP="00C70BD8">
      <w:pPr>
        <w:pStyle w:val="Heading2"/>
        <w:keepNext w:val="0"/>
        <w:pageBreakBefore/>
        <w:widowControl w:val="0"/>
        <w:jc w:val="center"/>
        <w:rPr>
          <w:i w:val="0"/>
          <w:color w:val="335375" w:themeColor="accent3" w:themeShade="BF"/>
          <w:u w:val="single"/>
        </w:rPr>
      </w:pPr>
      <w:r w:rsidRPr="002E4D24">
        <w:rPr>
          <w:i w:val="0"/>
          <w:color w:val="335375" w:themeColor="accent3" w:themeShade="BF"/>
          <w:u w:val="single"/>
        </w:rPr>
        <w:lastRenderedPageBreak/>
        <w:t>CR-60 - ESG 91.520(g) (ESG Recipients only)</w:t>
      </w:r>
    </w:p>
    <w:p w14:paraId="04BD4DA4" w14:textId="77777777" w:rsidR="00190CB2" w:rsidRPr="002E4D24" w:rsidRDefault="00190CB2" w:rsidP="00190CB2">
      <w:pPr>
        <w:jc w:val="center"/>
        <w:rPr>
          <w:b/>
          <w:color w:val="335375" w:themeColor="accent3" w:themeShade="BF"/>
          <w:szCs w:val="24"/>
        </w:rPr>
      </w:pPr>
    </w:p>
    <w:p w14:paraId="6D584AD7" w14:textId="77777777" w:rsidR="00190CB2" w:rsidRPr="003E6342" w:rsidRDefault="00190CB2" w:rsidP="00190CB2">
      <w:pPr>
        <w:jc w:val="center"/>
        <w:rPr>
          <w:b/>
          <w:szCs w:val="24"/>
        </w:rPr>
      </w:pPr>
      <w:r w:rsidRPr="003E6342">
        <w:rPr>
          <w:b/>
          <w:szCs w:val="24"/>
        </w:rPr>
        <w:t xml:space="preserve">ESG Supplement to the CAPER in </w:t>
      </w:r>
      <w:r w:rsidRPr="003E6342">
        <w:rPr>
          <w:b/>
          <w:i/>
          <w:szCs w:val="24"/>
        </w:rPr>
        <w:t>e-snaps</w:t>
      </w:r>
    </w:p>
    <w:p w14:paraId="6F3C1822" w14:textId="77777777" w:rsidR="00190CB2" w:rsidRPr="003E6342" w:rsidRDefault="00190CB2" w:rsidP="00190CB2">
      <w:pPr>
        <w:jc w:val="center"/>
        <w:rPr>
          <w:b/>
          <w:szCs w:val="24"/>
        </w:rPr>
      </w:pPr>
      <w:r w:rsidRPr="003E6342">
        <w:rPr>
          <w:b/>
          <w:szCs w:val="24"/>
        </w:rPr>
        <w:t>For Paperwork Reduction Act</w:t>
      </w:r>
    </w:p>
    <w:p w14:paraId="6F76BE45" w14:textId="77777777" w:rsidR="003348E6" w:rsidRDefault="003348E6" w:rsidP="00190CB2">
      <w:pPr>
        <w:jc w:val="center"/>
        <w:rPr>
          <w:b/>
          <w:color w:val="335375" w:themeColor="accent3" w:themeShade="BF"/>
          <w:szCs w:val="24"/>
        </w:rPr>
      </w:pPr>
    </w:p>
    <w:p w14:paraId="396E48E4" w14:textId="6FE21E93" w:rsidR="003348E6" w:rsidRPr="003348E6" w:rsidRDefault="003348E6" w:rsidP="003E6342">
      <w:pPr>
        <w:jc w:val="center"/>
        <w:rPr>
          <w:i/>
          <w:color w:val="FF0000"/>
          <w:szCs w:val="24"/>
        </w:rPr>
      </w:pPr>
      <w:r w:rsidRPr="003348E6">
        <w:rPr>
          <w:b/>
          <w:i/>
          <w:szCs w:val="24"/>
        </w:rPr>
        <w:t>Please Note:</w:t>
      </w:r>
      <w:r>
        <w:rPr>
          <w:b/>
          <w:szCs w:val="24"/>
        </w:rPr>
        <w:t xml:space="preserve"> </w:t>
      </w:r>
      <w:r>
        <w:rPr>
          <w:i/>
          <w:color w:val="FF0000"/>
          <w:szCs w:val="24"/>
        </w:rPr>
        <w:t xml:space="preserve">This </w:t>
      </w:r>
      <w:r w:rsidR="00444036">
        <w:rPr>
          <w:i/>
          <w:color w:val="FF0000"/>
          <w:szCs w:val="24"/>
        </w:rPr>
        <w:t xml:space="preserve">information is still being updated and </w:t>
      </w:r>
      <w:r w:rsidR="003E6342">
        <w:rPr>
          <w:i/>
          <w:color w:val="FF0000"/>
          <w:szCs w:val="24"/>
        </w:rPr>
        <w:t>may have additional information added after the public comment period.</w:t>
      </w:r>
    </w:p>
    <w:p w14:paraId="56EF14FD" w14:textId="77777777" w:rsidR="003348E6" w:rsidRPr="002E4D24" w:rsidRDefault="003348E6" w:rsidP="003348E6">
      <w:pPr>
        <w:rPr>
          <w:b/>
          <w:color w:val="335375" w:themeColor="accent3" w:themeShade="BF"/>
          <w:szCs w:val="24"/>
        </w:rPr>
      </w:pPr>
    </w:p>
    <w:p w14:paraId="2D0516A9" w14:textId="77777777" w:rsidR="00190CB2" w:rsidRPr="003E6342" w:rsidRDefault="00190CB2" w:rsidP="00802696">
      <w:pPr>
        <w:widowControl w:val="0"/>
        <w:spacing w:after="0" w:line="240" w:lineRule="auto"/>
        <w:rPr>
          <w:b/>
          <w:szCs w:val="24"/>
        </w:rPr>
      </w:pPr>
      <w:r w:rsidRPr="002E4D24">
        <w:rPr>
          <w:b/>
          <w:color w:val="335375" w:themeColor="accent3" w:themeShade="BF"/>
          <w:szCs w:val="24"/>
        </w:rPr>
        <w:t>1</w:t>
      </w:r>
      <w:r w:rsidRPr="003E6342">
        <w:rPr>
          <w:b/>
          <w:szCs w:val="24"/>
        </w:rPr>
        <w:t>. Recipient Information—All Recipients Complete</w:t>
      </w:r>
    </w:p>
    <w:p w14:paraId="374328B0" w14:textId="77777777" w:rsidR="00190CB2" w:rsidRPr="003E6342" w:rsidRDefault="00190CB2" w:rsidP="00802696">
      <w:pPr>
        <w:widowControl w:val="0"/>
        <w:spacing w:after="0" w:line="240" w:lineRule="auto"/>
        <w:rPr>
          <w:b/>
          <w:u w:val="single"/>
        </w:rPr>
      </w:pPr>
      <w:r w:rsidRPr="003E6342">
        <w:rPr>
          <w:b/>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66954CE0" w14:textId="77777777" w:rsidTr="009E5F8C">
        <w:trPr>
          <w:cantSplit/>
        </w:trPr>
        <w:tc>
          <w:tcPr>
            <w:tcW w:w="4320" w:type="dxa"/>
          </w:tcPr>
          <w:p w14:paraId="267CB2DE" w14:textId="77777777" w:rsidR="00190CB2" w:rsidRPr="003E6342" w:rsidRDefault="00190CB2" w:rsidP="00C70BD8">
            <w:pPr>
              <w:widowControl w:val="0"/>
              <w:spacing w:after="0" w:line="240" w:lineRule="auto"/>
            </w:pPr>
            <w:r w:rsidRPr="003E6342">
              <w:rPr>
                <w:b/>
                <w:bCs/>
              </w:rPr>
              <w:t>Recipient Name</w:t>
            </w:r>
          </w:p>
        </w:tc>
        <w:tc>
          <w:tcPr>
            <w:tcW w:w="5270" w:type="dxa"/>
          </w:tcPr>
          <w:p w14:paraId="18E6BAB4" w14:textId="77777777" w:rsidR="00190CB2" w:rsidRPr="003E6342" w:rsidRDefault="00190CB2" w:rsidP="00C70BD8">
            <w:pPr>
              <w:widowControl w:val="0"/>
              <w:spacing w:after="0" w:line="240" w:lineRule="auto"/>
              <w:rPr>
                <w:rFonts w:cs="Arial"/>
              </w:rPr>
            </w:pPr>
            <w:r w:rsidRPr="003E6342">
              <w:rPr>
                <w:rFonts w:cs="Arial"/>
              </w:rPr>
              <w:t>CALIFORNIA</w:t>
            </w:r>
          </w:p>
        </w:tc>
      </w:tr>
    </w:tbl>
    <w:p w14:paraId="08B32424"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5EB545F1" w14:textId="77777777" w:rsidTr="009E5F8C">
        <w:trPr>
          <w:cantSplit/>
        </w:trPr>
        <w:tc>
          <w:tcPr>
            <w:tcW w:w="4320" w:type="dxa"/>
          </w:tcPr>
          <w:p w14:paraId="5B7E28BB" w14:textId="77777777" w:rsidR="00190CB2" w:rsidRPr="003E6342" w:rsidRDefault="00190CB2" w:rsidP="00C70BD8">
            <w:pPr>
              <w:widowControl w:val="0"/>
              <w:spacing w:after="0" w:line="240" w:lineRule="auto"/>
            </w:pPr>
            <w:r w:rsidRPr="003E6342">
              <w:rPr>
                <w:b/>
                <w:bCs/>
              </w:rPr>
              <w:t>Organizational DUNS Number</w:t>
            </w:r>
          </w:p>
        </w:tc>
        <w:tc>
          <w:tcPr>
            <w:tcW w:w="5270" w:type="dxa"/>
          </w:tcPr>
          <w:p w14:paraId="11ED7BDB" w14:textId="77777777" w:rsidR="00190CB2" w:rsidRPr="003E6342" w:rsidRDefault="00190CB2" w:rsidP="00C70BD8">
            <w:pPr>
              <w:widowControl w:val="0"/>
              <w:spacing w:after="0" w:line="240" w:lineRule="auto"/>
              <w:rPr>
                <w:rFonts w:cs="Arial"/>
              </w:rPr>
            </w:pPr>
            <w:r w:rsidRPr="003E6342">
              <w:rPr>
                <w:rFonts w:cs="Arial"/>
              </w:rPr>
              <w:t>021225490</w:t>
            </w:r>
          </w:p>
        </w:tc>
      </w:tr>
    </w:tbl>
    <w:p w14:paraId="6B491008"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67FC7A4F" w14:textId="77777777" w:rsidTr="009E5F8C">
        <w:trPr>
          <w:cantSplit/>
        </w:trPr>
        <w:tc>
          <w:tcPr>
            <w:tcW w:w="4320" w:type="dxa"/>
          </w:tcPr>
          <w:p w14:paraId="6CF8E8CE" w14:textId="77777777" w:rsidR="00190CB2" w:rsidRPr="003E6342" w:rsidRDefault="00190CB2" w:rsidP="00C70BD8">
            <w:pPr>
              <w:widowControl w:val="0"/>
              <w:spacing w:after="0" w:line="240" w:lineRule="auto"/>
            </w:pPr>
            <w:r w:rsidRPr="003E6342">
              <w:rPr>
                <w:b/>
                <w:bCs/>
              </w:rPr>
              <w:t>EIN/TIN Number</w:t>
            </w:r>
          </w:p>
        </w:tc>
        <w:tc>
          <w:tcPr>
            <w:tcW w:w="5270" w:type="dxa"/>
          </w:tcPr>
          <w:p w14:paraId="2408283D" w14:textId="77777777" w:rsidR="00190CB2" w:rsidRPr="003E6342" w:rsidRDefault="00190CB2" w:rsidP="00C70BD8">
            <w:pPr>
              <w:widowControl w:val="0"/>
              <w:spacing w:after="0" w:line="240" w:lineRule="auto"/>
              <w:rPr>
                <w:rFonts w:cs="Arial"/>
              </w:rPr>
            </w:pPr>
            <w:r w:rsidRPr="003E6342">
              <w:rPr>
                <w:rFonts w:cs="Arial"/>
              </w:rPr>
              <w:t>680303547</w:t>
            </w:r>
          </w:p>
        </w:tc>
      </w:tr>
    </w:tbl>
    <w:p w14:paraId="5BED13D8"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55647722" w14:textId="77777777" w:rsidTr="009E5F8C">
        <w:trPr>
          <w:cantSplit/>
        </w:trPr>
        <w:tc>
          <w:tcPr>
            <w:tcW w:w="4320" w:type="dxa"/>
          </w:tcPr>
          <w:p w14:paraId="311F3BEE" w14:textId="77777777" w:rsidR="00190CB2" w:rsidRPr="003E6342" w:rsidRDefault="00C0352B" w:rsidP="00C70BD8">
            <w:pPr>
              <w:widowControl w:val="0"/>
              <w:spacing w:after="0" w:line="240" w:lineRule="auto"/>
            </w:pPr>
            <w:r w:rsidRPr="003E6342">
              <w:rPr>
                <w:b/>
                <w:bCs/>
              </w:rPr>
              <w:t>Identify</w:t>
            </w:r>
            <w:r w:rsidR="00190CB2" w:rsidRPr="003E6342">
              <w:rPr>
                <w:b/>
                <w:bCs/>
              </w:rPr>
              <w:t xml:space="preserve"> the Field Office</w:t>
            </w:r>
          </w:p>
        </w:tc>
        <w:tc>
          <w:tcPr>
            <w:tcW w:w="5270" w:type="dxa"/>
          </w:tcPr>
          <w:p w14:paraId="164AF9F9" w14:textId="77777777" w:rsidR="00190CB2" w:rsidRPr="003E6342" w:rsidRDefault="00190CB2" w:rsidP="00C70BD8">
            <w:pPr>
              <w:widowControl w:val="0"/>
              <w:spacing w:after="0" w:line="240" w:lineRule="auto"/>
              <w:rPr>
                <w:rFonts w:cs="Arial"/>
              </w:rPr>
            </w:pPr>
            <w:r w:rsidRPr="003E6342">
              <w:rPr>
                <w:rFonts w:cs="Arial"/>
              </w:rPr>
              <w:t>SAN FRANCISCO</w:t>
            </w:r>
          </w:p>
        </w:tc>
      </w:tr>
    </w:tbl>
    <w:p w14:paraId="0A3B3D9A"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224F01F7" w14:textId="77777777" w:rsidTr="009E5F8C">
        <w:trPr>
          <w:cantSplit/>
        </w:trPr>
        <w:tc>
          <w:tcPr>
            <w:tcW w:w="4320" w:type="dxa"/>
          </w:tcPr>
          <w:p w14:paraId="1DB70627" w14:textId="77777777" w:rsidR="00190CB2" w:rsidRPr="003E6342" w:rsidRDefault="00190CB2" w:rsidP="00C70BD8">
            <w:pPr>
              <w:widowControl w:val="0"/>
              <w:spacing w:after="0" w:line="240" w:lineRule="auto"/>
            </w:pPr>
            <w:r w:rsidRPr="003E6342">
              <w:rPr>
                <w:b/>
                <w:bCs/>
              </w:rPr>
              <w:t>Identify CoC(s) in which the recipient or subrecipient(s) will provide ESG assistance</w:t>
            </w:r>
          </w:p>
        </w:tc>
        <w:tc>
          <w:tcPr>
            <w:tcW w:w="5270" w:type="dxa"/>
          </w:tcPr>
          <w:p w14:paraId="1173CB68" w14:textId="77777777" w:rsidR="00190CB2" w:rsidRPr="003E6342" w:rsidRDefault="00190CB2" w:rsidP="00802696">
            <w:pPr>
              <w:widowControl w:val="0"/>
              <w:spacing w:after="0" w:line="240" w:lineRule="auto"/>
              <w:rPr>
                <w:rFonts w:cs="Arial"/>
              </w:rPr>
            </w:pPr>
          </w:p>
        </w:tc>
      </w:tr>
    </w:tbl>
    <w:p w14:paraId="4C0B2883" w14:textId="77777777" w:rsidR="00190CB2" w:rsidRPr="003E6342" w:rsidRDefault="00190CB2" w:rsidP="00802696">
      <w:pPr>
        <w:widowControl w:val="0"/>
        <w:spacing w:after="0" w:line="240" w:lineRule="auto"/>
        <w:rPr>
          <w:b/>
          <w:szCs w:val="24"/>
        </w:rPr>
      </w:pPr>
    </w:p>
    <w:p w14:paraId="631E03E0" w14:textId="77777777" w:rsidR="00190CB2" w:rsidRPr="003E6342" w:rsidRDefault="00190CB2" w:rsidP="00C70BD8">
      <w:pPr>
        <w:widowControl w:val="0"/>
        <w:spacing w:after="0" w:line="240" w:lineRule="auto"/>
        <w:rPr>
          <w:b/>
          <w:u w:val="single"/>
        </w:rPr>
      </w:pPr>
      <w:r w:rsidRPr="003E6342">
        <w:rPr>
          <w:b/>
          <w:u w:val="single"/>
        </w:rPr>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47E51DF7" w14:textId="77777777" w:rsidTr="009E5F8C">
        <w:trPr>
          <w:cantSplit/>
        </w:trPr>
        <w:tc>
          <w:tcPr>
            <w:tcW w:w="4320" w:type="dxa"/>
          </w:tcPr>
          <w:p w14:paraId="1187A3DC" w14:textId="77777777" w:rsidR="00190CB2" w:rsidRPr="003E6342" w:rsidRDefault="00190CB2" w:rsidP="00C70BD8">
            <w:pPr>
              <w:widowControl w:val="0"/>
              <w:spacing w:after="0" w:line="240" w:lineRule="auto"/>
            </w:pPr>
            <w:r w:rsidRPr="003E6342">
              <w:rPr>
                <w:b/>
                <w:bCs/>
              </w:rPr>
              <w:t>Prefix</w:t>
            </w:r>
          </w:p>
        </w:tc>
        <w:tc>
          <w:tcPr>
            <w:tcW w:w="5270" w:type="dxa"/>
          </w:tcPr>
          <w:p w14:paraId="1BA5EF96" w14:textId="77777777" w:rsidR="00190CB2" w:rsidRPr="003E6342" w:rsidRDefault="00190CB2" w:rsidP="00C70BD8">
            <w:pPr>
              <w:widowControl w:val="0"/>
              <w:spacing w:after="0" w:line="240" w:lineRule="auto"/>
              <w:rPr>
                <w:rFonts w:cs="Arial"/>
              </w:rPr>
            </w:pPr>
            <w:r w:rsidRPr="003E6342">
              <w:rPr>
                <w:rFonts w:cs="Arial"/>
              </w:rPr>
              <w:t>Ms</w:t>
            </w:r>
          </w:p>
        </w:tc>
      </w:tr>
    </w:tbl>
    <w:p w14:paraId="3BBB69B8"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55D374F8" w14:textId="77777777" w:rsidTr="009E5F8C">
        <w:trPr>
          <w:cantSplit/>
        </w:trPr>
        <w:tc>
          <w:tcPr>
            <w:tcW w:w="4320" w:type="dxa"/>
          </w:tcPr>
          <w:p w14:paraId="1FD37B48" w14:textId="77777777" w:rsidR="00190CB2" w:rsidRPr="003E6342" w:rsidRDefault="00190CB2" w:rsidP="00C70BD8">
            <w:pPr>
              <w:widowControl w:val="0"/>
              <w:spacing w:after="0" w:line="240" w:lineRule="auto"/>
            </w:pPr>
            <w:r w:rsidRPr="003E6342">
              <w:rPr>
                <w:b/>
                <w:bCs/>
              </w:rPr>
              <w:t>First Name</w:t>
            </w:r>
          </w:p>
        </w:tc>
        <w:tc>
          <w:tcPr>
            <w:tcW w:w="5270" w:type="dxa"/>
          </w:tcPr>
          <w:p w14:paraId="0F2D3EEB" w14:textId="77777777" w:rsidR="00190CB2" w:rsidRPr="003E6342" w:rsidRDefault="00190CB2" w:rsidP="00C70BD8">
            <w:pPr>
              <w:widowControl w:val="0"/>
              <w:spacing w:after="0" w:line="240" w:lineRule="auto"/>
              <w:rPr>
                <w:rFonts w:cs="Arial"/>
                <w:highlight w:val="yellow"/>
              </w:rPr>
            </w:pPr>
            <w:r w:rsidRPr="003E6342">
              <w:rPr>
                <w:rFonts w:cs="Arial"/>
              </w:rPr>
              <w:t>Karen</w:t>
            </w:r>
          </w:p>
        </w:tc>
      </w:tr>
    </w:tbl>
    <w:p w14:paraId="2C3B1F64"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1089043B" w14:textId="77777777" w:rsidTr="009E5F8C">
        <w:trPr>
          <w:cantSplit/>
        </w:trPr>
        <w:tc>
          <w:tcPr>
            <w:tcW w:w="4320" w:type="dxa"/>
          </w:tcPr>
          <w:p w14:paraId="73301C3D" w14:textId="77777777" w:rsidR="00190CB2" w:rsidRPr="003E6342" w:rsidRDefault="00190CB2" w:rsidP="00C70BD8">
            <w:pPr>
              <w:widowControl w:val="0"/>
              <w:spacing w:after="0" w:line="240" w:lineRule="auto"/>
            </w:pPr>
            <w:r w:rsidRPr="003E6342">
              <w:rPr>
                <w:b/>
                <w:bCs/>
              </w:rPr>
              <w:t>Middle Name</w:t>
            </w:r>
          </w:p>
        </w:tc>
        <w:tc>
          <w:tcPr>
            <w:tcW w:w="5270" w:type="dxa"/>
          </w:tcPr>
          <w:p w14:paraId="17B832FE" w14:textId="77777777" w:rsidR="00190CB2" w:rsidRPr="003E6342" w:rsidRDefault="00190CB2" w:rsidP="00C70BD8">
            <w:pPr>
              <w:widowControl w:val="0"/>
              <w:spacing w:after="0" w:line="240" w:lineRule="auto"/>
              <w:rPr>
                <w:rFonts w:cs="Arial"/>
                <w:highlight w:val="yellow"/>
              </w:rPr>
            </w:pPr>
            <w:r w:rsidRPr="003E6342">
              <w:rPr>
                <w:rFonts w:cs="Arial"/>
              </w:rPr>
              <w:t>0</w:t>
            </w:r>
          </w:p>
        </w:tc>
      </w:tr>
    </w:tbl>
    <w:p w14:paraId="7374099F"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1445EB05" w14:textId="77777777" w:rsidTr="009E5F8C">
        <w:trPr>
          <w:cantSplit/>
        </w:trPr>
        <w:tc>
          <w:tcPr>
            <w:tcW w:w="4320" w:type="dxa"/>
          </w:tcPr>
          <w:p w14:paraId="45A20FD3" w14:textId="77777777" w:rsidR="00190CB2" w:rsidRPr="003E6342" w:rsidRDefault="00190CB2" w:rsidP="00C70BD8">
            <w:pPr>
              <w:widowControl w:val="0"/>
              <w:spacing w:after="0" w:line="240" w:lineRule="auto"/>
            </w:pPr>
            <w:r w:rsidRPr="003E6342">
              <w:rPr>
                <w:b/>
                <w:bCs/>
              </w:rPr>
              <w:t>Last Name</w:t>
            </w:r>
          </w:p>
        </w:tc>
        <w:tc>
          <w:tcPr>
            <w:tcW w:w="5270" w:type="dxa"/>
          </w:tcPr>
          <w:p w14:paraId="7545DD41" w14:textId="77777777" w:rsidR="00190CB2" w:rsidRPr="003E6342" w:rsidRDefault="00190CB2" w:rsidP="00C70BD8">
            <w:pPr>
              <w:widowControl w:val="0"/>
              <w:spacing w:after="0" w:line="240" w:lineRule="auto"/>
              <w:rPr>
                <w:rFonts w:cs="Arial"/>
                <w:highlight w:val="yellow"/>
              </w:rPr>
            </w:pPr>
            <w:r w:rsidRPr="003E6342">
              <w:rPr>
                <w:rFonts w:cs="Arial"/>
              </w:rPr>
              <w:t>Patterson</w:t>
            </w:r>
          </w:p>
        </w:tc>
      </w:tr>
    </w:tbl>
    <w:p w14:paraId="5955E194"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19C5D86F" w14:textId="77777777" w:rsidTr="009E5F8C">
        <w:trPr>
          <w:cantSplit/>
        </w:trPr>
        <w:tc>
          <w:tcPr>
            <w:tcW w:w="4320" w:type="dxa"/>
          </w:tcPr>
          <w:p w14:paraId="4EBBBE89" w14:textId="77777777" w:rsidR="00190CB2" w:rsidRPr="003E6342" w:rsidRDefault="00190CB2" w:rsidP="00C70BD8">
            <w:pPr>
              <w:widowControl w:val="0"/>
              <w:spacing w:after="0" w:line="240" w:lineRule="auto"/>
            </w:pPr>
            <w:r w:rsidRPr="003E6342">
              <w:rPr>
                <w:b/>
                <w:bCs/>
              </w:rPr>
              <w:t>Suffix</w:t>
            </w:r>
          </w:p>
        </w:tc>
        <w:tc>
          <w:tcPr>
            <w:tcW w:w="5270" w:type="dxa"/>
          </w:tcPr>
          <w:p w14:paraId="13896A75" w14:textId="77777777" w:rsidR="00190CB2" w:rsidRPr="003E6342" w:rsidRDefault="00190CB2" w:rsidP="00C70BD8">
            <w:pPr>
              <w:widowControl w:val="0"/>
              <w:spacing w:after="0" w:line="240" w:lineRule="auto"/>
              <w:rPr>
                <w:rFonts w:cs="Arial"/>
                <w:highlight w:val="yellow"/>
              </w:rPr>
            </w:pPr>
            <w:r w:rsidRPr="003E6342">
              <w:rPr>
                <w:rFonts w:cs="Arial"/>
              </w:rPr>
              <w:t>0</w:t>
            </w:r>
          </w:p>
        </w:tc>
      </w:tr>
    </w:tbl>
    <w:p w14:paraId="560CCA34"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22DD5EE0" w14:textId="77777777" w:rsidTr="009E5F8C">
        <w:trPr>
          <w:cantSplit/>
        </w:trPr>
        <w:tc>
          <w:tcPr>
            <w:tcW w:w="4320" w:type="dxa"/>
          </w:tcPr>
          <w:p w14:paraId="43B6095A" w14:textId="77777777" w:rsidR="00190CB2" w:rsidRPr="003E6342" w:rsidRDefault="00190CB2" w:rsidP="003E6342">
            <w:pPr>
              <w:widowControl w:val="0"/>
              <w:spacing w:after="0" w:line="240" w:lineRule="auto"/>
            </w:pPr>
            <w:r w:rsidRPr="003E6342">
              <w:rPr>
                <w:b/>
                <w:bCs/>
              </w:rPr>
              <w:t>Title</w:t>
            </w:r>
          </w:p>
        </w:tc>
        <w:tc>
          <w:tcPr>
            <w:tcW w:w="5270" w:type="dxa"/>
          </w:tcPr>
          <w:p w14:paraId="3991A114" w14:textId="77777777" w:rsidR="00190CB2" w:rsidRPr="003E6342" w:rsidRDefault="00190CB2" w:rsidP="003E6342">
            <w:pPr>
              <w:widowControl w:val="0"/>
              <w:spacing w:after="0" w:line="240" w:lineRule="auto"/>
              <w:rPr>
                <w:rFonts w:cs="Arial"/>
                <w:highlight w:val="yellow"/>
              </w:rPr>
            </w:pPr>
            <w:r w:rsidRPr="003E6342">
              <w:rPr>
                <w:rFonts w:cs="Arial"/>
              </w:rPr>
              <w:t>Section Chief</w:t>
            </w:r>
          </w:p>
        </w:tc>
      </w:tr>
    </w:tbl>
    <w:p w14:paraId="218D6C5A" w14:textId="77777777" w:rsidR="00190CB2" w:rsidRPr="003E6342" w:rsidRDefault="00190CB2" w:rsidP="00802696">
      <w:pPr>
        <w:widowControl w:val="0"/>
        <w:spacing w:after="0" w:line="240" w:lineRule="auto"/>
        <w:rPr>
          <w:b/>
          <w:szCs w:val="24"/>
        </w:rPr>
      </w:pPr>
    </w:p>
    <w:p w14:paraId="49827C48" w14:textId="77777777" w:rsidR="00190CB2" w:rsidRPr="003E6342" w:rsidRDefault="00190CB2" w:rsidP="00802696">
      <w:pPr>
        <w:widowControl w:val="0"/>
        <w:spacing w:after="0" w:line="240" w:lineRule="auto"/>
        <w:rPr>
          <w:b/>
          <w:u w:val="single"/>
        </w:rPr>
      </w:pPr>
      <w:r w:rsidRPr="003E6342">
        <w:rPr>
          <w:b/>
          <w:u w:val="single"/>
        </w:rPr>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2797140E" w14:textId="77777777" w:rsidTr="009E5F8C">
        <w:trPr>
          <w:cantSplit/>
        </w:trPr>
        <w:tc>
          <w:tcPr>
            <w:tcW w:w="4320" w:type="dxa"/>
          </w:tcPr>
          <w:p w14:paraId="2DE6A9DA" w14:textId="77777777" w:rsidR="00190CB2" w:rsidRPr="003E6342" w:rsidRDefault="00190CB2" w:rsidP="003E6342">
            <w:pPr>
              <w:widowControl w:val="0"/>
              <w:spacing w:after="0" w:line="240" w:lineRule="auto"/>
            </w:pPr>
            <w:r w:rsidRPr="003E6342">
              <w:rPr>
                <w:b/>
                <w:bCs/>
              </w:rPr>
              <w:t>Street Address 1</w:t>
            </w:r>
          </w:p>
        </w:tc>
        <w:tc>
          <w:tcPr>
            <w:tcW w:w="5270" w:type="dxa"/>
          </w:tcPr>
          <w:p w14:paraId="050EE5EB" w14:textId="77777777" w:rsidR="00190CB2" w:rsidRPr="003E6342" w:rsidRDefault="00190CB2" w:rsidP="003E6342">
            <w:pPr>
              <w:widowControl w:val="0"/>
              <w:spacing w:after="0" w:line="240" w:lineRule="auto"/>
              <w:rPr>
                <w:rFonts w:cs="Arial"/>
              </w:rPr>
            </w:pPr>
            <w:r w:rsidRPr="003E6342">
              <w:rPr>
                <w:rFonts w:cs="Arial"/>
              </w:rPr>
              <w:t>2020 West El Camino Avenue</w:t>
            </w:r>
          </w:p>
        </w:tc>
      </w:tr>
    </w:tbl>
    <w:p w14:paraId="69E932F4"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4D2EDB7B" w14:textId="77777777" w:rsidTr="009E5F8C">
        <w:trPr>
          <w:cantSplit/>
        </w:trPr>
        <w:tc>
          <w:tcPr>
            <w:tcW w:w="4320" w:type="dxa"/>
          </w:tcPr>
          <w:p w14:paraId="32549AA0" w14:textId="77777777" w:rsidR="00190CB2" w:rsidRPr="003E6342" w:rsidRDefault="00190CB2" w:rsidP="003E6342">
            <w:pPr>
              <w:widowControl w:val="0"/>
              <w:spacing w:after="0" w:line="240" w:lineRule="auto"/>
            </w:pPr>
            <w:r w:rsidRPr="003E6342">
              <w:rPr>
                <w:b/>
                <w:bCs/>
              </w:rPr>
              <w:t>Street Address 2</w:t>
            </w:r>
          </w:p>
        </w:tc>
        <w:tc>
          <w:tcPr>
            <w:tcW w:w="5270" w:type="dxa"/>
          </w:tcPr>
          <w:p w14:paraId="72BCB9BF" w14:textId="77777777" w:rsidR="00190CB2" w:rsidRPr="003E6342" w:rsidRDefault="00190CB2" w:rsidP="003E6342">
            <w:pPr>
              <w:widowControl w:val="0"/>
              <w:spacing w:after="0" w:line="240" w:lineRule="auto"/>
              <w:rPr>
                <w:rFonts w:cs="Arial"/>
                <w:highlight w:val="yellow"/>
              </w:rPr>
            </w:pPr>
            <w:r w:rsidRPr="003E6342">
              <w:rPr>
                <w:rFonts w:cs="Arial"/>
              </w:rPr>
              <w:t>0</w:t>
            </w:r>
          </w:p>
        </w:tc>
      </w:tr>
    </w:tbl>
    <w:p w14:paraId="19A6EAB5"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66925520" w14:textId="77777777" w:rsidTr="009E5F8C">
        <w:trPr>
          <w:cantSplit/>
        </w:trPr>
        <w:tc>
          <w:tcPr>
            <w:tcW w:w="4320" w:type="dxa"/>
          </w:tcPr>
          <w:p w14:paraId="3386E03F" w14:textId="77777777" w:rsidR="00190CB2" w:rsidRPr="003E6342" w:rsidRDefault="00190CB2" w:rsidP="003E6342">
            <w:pPr>
              <w:widowControl w:val="0"/>
              <w:spacing w:after="0" w:line="240" w:lineRule="auto"/>
            </w:pPr>
            <w:r w:rsidRPr="003E6342">
              <w:rPr>
                <w:b/>
                <w:bCs/>
              </w:rPr>
              <w:t>City</w:t>
            </w:r>
          </w:p>
        </w:tc>
        <w:tc>
          <w:tcPr>
            <w:tcW w:w="5270" w:type="dxa"/>
          </w:tcPr>
          <w:p w14:paraId="58559718" w14:textId="77777777" w:rsidR="00190CB2" w:rsidRPr="003E6342" w:rsidRDefault="00190CB2" w:rsidP="003E6342">
            <w:pPr>
              <w:widowControl w:val="0"/>
              <w:spacing w:after="0" w:line="240" w:lineRule="auto"/>
              <w:rPr>
                <w:rFonts w:cs="Arial"/>
                <w:highlight w:val="yellow"/>
              </w:rPr>
            </w:pPr>
            <w:r w:rsidRPr="003E6342">
              <w:rPr>
                <w:rFonts w:cs="Arial"/>
              </w:rPr>
              <w:t>Sacramento</w:t>
            </w:r>
          </w:p>
        </w:tc>
      </w:tr>
    </w:tbl>
    <w:p w14:paraId="16D88B90"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39CF21B7" w14:textId="77777777" w:rsidTr="009E5F8C">
        <w:trPr>
          <w:cantSplit/>
        </w:trPr>
        <w:tc>
          <w:tcPr>
            <w:tcW w:w="4320" w:type="dxa"/>
          </w:tcPr>
          <w:p w14:paraId="0C6ECC1D" w14:textId="77777777" w:rsidR="00190CB2" w:rsidRPr="003E6342" w:rsidRDefault="00190CB2" w:rsidP="003E6342">
            <w:pPr>
              <w:widowControl w:val="0"/>
              <w:spacing w:after="0" w:line="240" w:lineRule="auto"/>
            </w:pPr>
            <w:r w:rsidRPr="003E6342">
              <w:rPr>
                <w:b/>
                <w:bCs/>
              </w:rPr>
              <w:t>State</w:t>
            </w:r>
          </w:p>
        </w:tc>
        <w:tc>
          <w:tcPr>
            <w:tcW w:w="5270" w:type="dxa"/>
          </w:tcPr>
          <w:p w14:paraId="11991BE0" w14:textId="77777777" w:rsidR="00190CB2" w:rsidRPr="003E6342" w:rsidRDefault="00190CB2" w:rsidP="003E6342">
            <w:pPr>
              <w:widowControl w:val="0"/>
              <w:spacing w:after="0" w:line="240" w:lineRule="auto"/>
              <w:rPr>
                <w:rFonts w:cs="Arial"/>
                <w:highlight w:val="yellow"/>
              </w:rPr>
            </w:pPr>
            <w:r w:rsidRPr="003E6342">
              <w:rPr>
                <w:rFonts w:cs="Arial"/>
              </w:rPr>
              <w:t>CA</w:t>
            </w:r>
          </w:p>
        </w:tc>
      </w:tr>
    </w:tbl>
    <w:p w14:paraId="5A4D2BF1"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45DBDCF0" w14:textId="77777777" w:rsidTr="009E5F8C">
        <w:trPr>
          <w:cantSplit/>
        </w:trPr>
        <w:tc>
          <w:tcPr>
            <w:tcW w:w="4320" w:type="dxa"/>
          </w:tcPr>
          <w:p w14:paraId="5D9B9ACF" w14:textId="77777777" w:rsidR="00190CB2" w:rsidRPr="003E6342" w:rsidRDefault="00190CB2" w:rsidP="003E6342">
            <w:pPr>
              <w:widowControl w:val="0"/>
              <w:spacing w:after="0" w:line="240" w:lineRule="auto"/>
            </w:pPr>
            <w:r w:rsidRPr="003E6342">
              <w:rPr>
                <w:b/>
                <w:bCs/>
              </w:rPr>
              <w:t>ZIP Code</w:t>
            </w:r>
          </w:p>
        </w:tc>
        <w:tc>
          <w:tcPr>
            <w:tcW w:w="5270" w:type="dxa"/>
          </w:tcPr>
          <w:p w14:paraId="358EE45F" w14:textId="77777777" w:rsidR="00190CB2" w:rsidRPr="003E6342" w:rsidRDefault="00190CB2" w:rsidP="003E6342">
            <w:pPr>
              <w:widowControl w:val="0"/>
              <w:spacing w:after="0" w:line="240" w:lineRule="auto"/>
              <w:rPr>
                <w:rFonts w:cs="Arial"/>
                <w:highlight w:val="yellow"/>
              </w:rPr>
            </w:pPr>
            <w:r w:rsidRPr="003E6342">
              <w:rPr>
                <w:rFonts w:cs="Arial"/>
              </w:rPr>
              <w:t>95833-</w:t>
            </w:r>
          </w:p>
        </w:tc>
      </w:tr>
    </w:tbl>
    <w:p w14:paraId="1EB7C785"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69F2411F" w14:textId="77777777" w:rsidTr="009E5F8C">
        <w:trPr>
          <w:cantSplit/>
        </w:trPr>
        <w:tc>
          <w:tcPr>
            <w:tcW w:w="4320" w:type="dxa"/>
          </w:tcPr>
          <w:p w14:paraId="0B6DF51D" w14:textId="77777777" w:rsidR="00190CB2" w:rsidRPr="003E6342" w:rsidRDefault="00190CB2" w:rsidP="003E6342">
            <w:pPr>
              <w:widowControl w:val="0"/>
              <w:spacing w:after="0" w:line="240" w:lineRule="auto"/>
            </w:pPr>
            <w:r w:rsidRPr="003E6342">
              <w:rPr>
                <w:b/>
                <w:bCs/>
              </w:rPr>
              <w:t>Phone Number</w:t>
            </w:r>
          </w:p>
        </w:tc>
        <w:tc>
          <w:tcPr>
            <w:tcW w:w="5270" w:type="dxa"/>
          </w:tcPr>
          <w:p w14:paraId="14610B11" w14:textId="77777777" w:rsidR="00190CB2" w:rsidRPr="003E6342" w:rsidRDefault="00190CB2" w:rsidP="003E6342">
            <w:pPr>
              <w:widowControl w:val="0"/>
              <w:spacing w:after="0" w:line="240" w:lineRule="auto"/>
              <w:rPr>
                <w:rFonts w:cs="Arial"/>
                <w:highlight w:val="yellow"/>
              </w:rPr>
            </w:pPr>
            <w:r w:rsidRPr="003E6342">
              <w:rPr>
                <w:rFonts w:cs="Arial"/>
              </w:rPr>
              <w:t>9162631466</w:t>
            </w:r>
          </w:p>
        </w:tc>
      </w:tr>
    </w:tbl>
    <w:p w14:paraId="0DB93A13"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416A6937" w14:textId="77777777" w:rsidTr="009E5F8C">
        <w:trPr>
          <w:cantSplit/>
        </w:trPr>
        <w:tc>
          <w:tcPr>
            <w:tcW w:w="4320" w:type="dxa"/>
          </w:tcPr>
          <w:p w14:paraId="15F5AF64" w14:textId="77777777" w:rsidR="00190CB2" w:rsidRPr="003E6342" w:rsidRDefault="00190CB2" w:rsidP="003E6342">
            <w:pPr>
              <w:widowControl w:val="0"/>
              <w:spacing w:after="0" w:line="240" w:lineRule="auto"/>
            </w:pPr>
            <w:r w:rsidRPr="003E6342">
              <w:rPr>
                <w:b/>
                <w:bCs/>
              </w:rPr>
              <w:lastRenderedPageBreak/>
              <w:t>Extension</w:t>
            </w:r>
          </w:p>
        </w:tc>
        <w:tc>
          <w:tcPr>
            <w:tcW w:w="5270" w:type="dxa"/>
          </w:tcPr>
          <w:p w14:paraId="0D56438E" w14:textId="77777777" w:rsidR="00190CB2" w:rsidRPr="003E6342" w:rsidRDefault="00190CB2" w:rsidP="003E6342">
            <w:pPr>
              <w:widowControl w:val="0"/>
              <w:spacing w:after="0" w:line="240" w:lineRule="auto"/>
              <w:rPr>
                <w:rFonts w:cs="Arial"/>
                <w:highlight w:val="yellow"/>
              </w:rPr>
            </w:pPr>
            <w:r w:rsidRPr="003E6342">
              <w:rPr>
                <w:rFonts w:cs="Arial"/>
              </w:rPr>
              <w:t>0</w:t>
            </w:r>
          </w:p>
        </w:tc>
      </w:tr>
    </w:tbl>
    <w:p w14:paraId="2A533986"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1949B2C8" w14:textId="77777777" w:rsidTr="009E5F8C">
        <w:trPr>
          <w:cantSplit/>
        </w:trPr>
        <w:tc>
          <w:tcPr>
            <w:tcW w:w="4320" w:type="dxa"/>
          </w:tcPr>
          <w:p w14:paraId="55D29BA6" w14:textId="77777777" w:rsidR="00190CB2" w:rsidRPr="003E6342" w:rsidRDefault="00190CB2" w:rsidP="003E6342">
            <w:pPr>
              <w:widowControl w:val="0"/>
              <w:spacing w:after="0" w:line="240" w:lineRule="auto"/>
            </w:pPr>
            <w:r w:rsidRPr="003E6342">
              <w:rPr>
                <w:b/>
                <w:bCs/>
              </w:rPr>
              <w:t>Fax Number</w:t>
            </w:r>
          </w:p>
        </w:tc>
        <w:tc>
          <w:tcPr>
            <w:tcW w:w="5270" w:type="dxa"/>
          </w:tcPr>
          <w:p w14:paraId="0BAA2492" w14:textId="77777777" w:rsidR="00190CB2" w:rsidRPr="003E6342" w:rsidRDefault="00190CB2" w:rsidP="003E6342">
            <w:pPr>
              <w:widowControl w:val="0"/>
              <w:spacing w:after="0" w:line="240" w:lineRule="auto"/>
              <w:rPr>
                <w:rFonts w:cs="Arial"/>
                <w:highlight w:val="yellow"/>
              </w:rPr>
            </w:pPr>
            <w:r w:rsidRPr="003E6342">
              <w:rPr>
                <w:rFonts w:cs="Arial"/>
              </w:rPr>
              <w:t>0</w:t>
            </w:r>
          </w:p>
        </w:tc>
      </w:tr>
    </w:tbl>
    <w:p w14:paraId="3B5C6FE8"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26D74005" w14:textId="77777777" w:rsidTr="009E5F8C">
        <w:trPr>
          <w:cantSplit/>
        </w:trPr>
        <w:tc>
          <w:tcPr>
            <w:tcW w:w="4320" w:type="dxa"/>
          </w:tcPr>
          <w:p w14:paraId="643DFB89" w14:textId="77777777" w:rsidR="00190CB2" w:rsidRPr="003E6342" w:rsidRDefault="00190CB2" w:rsidP="003E6342">
            <w:pPr>
              <w:widowControl w:val="0"/>
              <w:spacing w:after="0" w:line="240" w:lineRule="auto"/>
            </w:pPr>
            <w:r w:rsidRPr="003E6342">
              <w:rPr>
                <w:b/>
                <w:bCs/>
              </w:rPr>
              <w:t>Email Address</w:t>
            </w:r>
          </w:p>
        </w:tc>
        <w:tc>
          <w:tcPr>
            <w:tcW w:w="5270" w:type="dxa"/>
          </w:tcPr>
          <w:p w14:paraId="38E791F5" w14:textId="77777777" w:rsidR="00190CB2" w:rsidRPr="003E6342" w:rsidRDefault="00190CB2" w:rsidP="003E6342">
            <w:pPr>
              <w:widowControl w:val="0"/>
              <w:spacing w:after="0" w:line="240" w:lineRule="auto"/>
              <w:rPr>
                <w:rFonts w:cs="Arial"/>
                <w:highlight w:val="yellow"/>
              </w:rPr>
            </w:pPr>
            <w:r w:rsidRPr="003E6342">
              <w:rPr>
                <w:rFonts w:cs="Arial"/>
              </w:rPr>
              <w:t>karen.patterson@hcd.ca.gov</w:t>
            </w:r>
          </w:p>
        </w:tc>
      </w:tr>
    </w:tbl>
    <w:p w14:paraId="2ABFB564" w14:textId="77777777" w:rsidR="00190CB2" w:rsidRPr="003E6342" w:rsidRDefault="00190CB2" w:rsidP="00802696">
      <w:pPr>
        <w:widowControl w:val="0"/>
        <w:spacing w:after="0" w:line="240" w:lineRule="auto"/>
        <w:rPr>
          <w:b/>
          <w:szCs w:val="24"/>
        </w:rPr>
      </w:pPr>
    </w:p>
    <w:p w14:paraId="179E924D" w14:textId="77777777" w:rsidR="00190CB2" w:rsidRPr="003E6342" w:rsidRDefault="00190CB2" w:rsidP="00802696">
      <w:pPr>
        <w:widowControl w:val="0"/>
        <w:spacing w:after="0" w:line="240" w:lineRule="auto"/>
        <w:rPr>
          <w:b/>
          <w:szCs w:val="24"/>
        </w:rPr>
      </w:pPr>
      <w:r w:rsidRPr="003E6342">
        <w:rPr>
          <w:b/>
          <w:u w:val="single"/>
        </w:rPr>
        <w:t>ESG Secondary Contact</w:t>
      </w: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78706A42" w14:textId="77777777" w:rsidTr="009E5F8C">
        <w:trPr>
          <w:cantSplit/>
        </w:trPr>
        <w:tc>
          <w:tcPr>
            <w:tcW w:w="4320" w:type="dxa"/>
          </w:tcPr>
          <w:p w14:paraId="395F46B3" w14:textId="77777777" w:rsidR="00190CB2" w:rsidRPr="003E6342" w:rsidRDefault="00190CB2" w:rsidP="003E6342">
            <w:pPr>
              <w:widowControl w:val="0"/>
              <w:spacing w:after="0" w:line="240" w:lineRule="auto"/>
            </w:pPr>
            <w:r w:rsidRPr="003E6342">
              <w:rPr>
                <w:b/>
                <w:bCs/>
              </w:rPr>
              <w:t>Prefix</w:t>
            </w:r>
          </w:p>
        </w:tc>
        <w:tc>
          <w:tcPr>
            <w:tcW w:w="5270" w:type="dxa"/>
          </w:tcPr>
          <w:p w14:paraId="172819BF" w14:textId="77777777" w:rsidR="00190CB2" w:rsidRPr="003E6342" w:rsidRDefault="00190CB2" w:rsidP="003E6342">
            <w:pPr>
              <w:widowControl w:val="0"/>
              <w:spacing w:after="0" w:line="240" w:lineRule="auto"/>
              <w:rPr>
                <w:rFonts w:cs="Arial"/>
              </w:rPr>
            </w:pPr>
            <w:r w:rsidRPr="003E6342">
              <w:rPr>
                <w:rFonts w:cs="Arial"/>
              </w:rPr>
              <w:t>Mr</w:t>
            </w:r>
          </w:p>
        </w:tc>
      </w:tr>
    </w:tbl>
    <w:p w14:paraId="0BA956D2"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00AAC4DE" w14:textId="77777777" w:rsidTr="009E5F8C">
        <w:trPr>
          <w:cantSplit/>
        </w:trPr>
        <w:tc>
          <w:tcPr>
            <w:tcW w:w="4320" w:type="dxa"/>
          </w:tcPr>
          <w:p w14:paraId="7A747F0B" w14:textId="77777777" w:rsidR="00190CB2" w:rsidRPr="003E6342" w:rsidRDefault="00190CB2" w:rsidP="003E6342">
            <w:pPr>
              <w:widowControl w:val="0"/>
              <w:spacing w:after="0" w:line="240" w:lineRule="auto"/>
            </w:pPr>
            <w:r w:rsidRPr="003E6342">
              <w:rPr>
                <w:b/>
                <w:bCs/>
              </w:rPr>
              <w:t>First Name</w:t>
            </w:r>
          </w:p>
        </w:tc>
        <w:tc>
          <w:tcPr>
            <w:tcW w:w="5270" w:type="dxa"/>
          </w:tcPr>
          <w:p w14:paraId="623AB125" w14:textId="77777777" w:rsidR="00190CB2" w:rsidRPr="003E6342" w:rsidRDefault="00190CB2" w:rsidP="003E6342">
            <w:pPr>
              <w:widowControl w:val="0"/>
              <w:spacing w:after="0" w:line="240" w:lineRule="auto"/>
              <w:rPr>
                <w:rFonts w:cs="Arial"/>
                <w:highlight w:val="yellow"/>
              </w:rPr>
            </w:pPr>
            <w:r w:rsidRPr="003E6342">
              <w:rPr>
                <w:rFonts w:cs="Arial"/>
              </w:rPr>
              <w:t>John</w:t>
            </w:r>
          </w:p>
        </w:tc>
      </w:tr>
    </w:tbl>
    <w:p w14:paraId="324F25C2"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73F4B323" w14:textId="77777777" w:rsidTr="009E5F8C">
        <w:trPr>
          <w:cantSplit/>
        </w:trPr>
        <w:tc>
          <w:tcPr>
            <w:tcW w:w="4320" w:type="dxa"/>
          </w:tcPr>
          <w:p w14:paraId="2168444B" w14:textId="77777777" w:rsidR="00190CB2" w:rsidRPr="003E6342" w:rsidRDefault="00190CB2" w:rsidP="003E6342">
            <w:pPr>
              <w:widowControl w:val="0"/>
              <w:spacing w:after="0" w:line="240" w:lineRule="auto"/>
            </w:pPr>
            <w:r w:rsidRPr="003E6342">
              <w:rPr>
                <w:b/>
                <w:bCs/>
              </w:rPr>
              <w:t>Last Name</w:t>
            </w:r>
          </w:p>
        </w:tc>
        <w:tc>
          <w:tcPr>
            <w:tcW w:w="5270" w:type="dxa"/>
          </w:tcPr>
          <w:p w14:paraId="3810B4CB" w14:textId="77777777" w:rsidR="00190CB2" w:rsidRPr="003E6342" w:rsidRDefault="00190CB2" w:rsidP="003E6342">
            <w:pPr>
              <w:widowControl w:val="0"/>
              <w:spacing w:after="0" w:line="240" w:lineRule="auto"/>
              <w:rPr>
                <w:rFonts w:cs="Arial"/>
                <w:highlight w:val="yellow"/>
              </w:rPr>
            </w:pPr>
            <w:r w:rsidRPr="003E6342">
              <w:rPr>
                <w:rFonts w:cs="Arial"/>
              </w:rPr>
              <w:t>Alexander</w:t>
            </w:r>
          </w:p>
        </w:tc>
      </w:tr>
    </w:tbl>
    <w:p w14:paraId="0D8930B7"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57CF87CE" w14:textId="77777777" w:rsidTr="009E5F8C">
        <w:trPr>
          <w:cantSplit/>
        </w:trPr>
        <w:tc>
          <w:tcPr>
            <w:tcW w:w="4320" w:type="dxa"/>
          </w:tcPr>
          <w:p w14:paraId="631E9EA4" w14:textId="77777777" w:rsidR="00190CB2" w:rsidRPr="003E6342" w:rsidRDefault="00190CB2" w:rsidP="003E6342">
            <w:pPr>
              <w:widowControl w:val="0"/>
              <w:spacing w:after="0" w:line="240" w:lineRule="auto"/>
            </w:pPr>
            <w:r w:rsidRPr="003E6342">
              <w:rPr>
                <w:b/>
                <w:bCs/>
              </w:rPr>
              <w:t>Suffix</w:t>
            </w:r>
          </w:p>
        </w:tc>
        <w:tc>
          <w:tcPr>
            <w:tcW w:w="5270" w:type="dxa"/>
          </w:tcPr>
          <w:p w14:paraId="28B8E254" w14:textId="77777777" w:rsidR="00190CB2" w:rsidRPr="003E6342" w:rsidRDefault="00190CB2" w:rsidP="003E6342">
            <w:pPr>
              <w:widowControl w:val="0"/>
              <w:spacing w:after="0" w:line="240" w:lineRule="auto"/>
              <w:rPr>
                <w:rFonts w:cs="Arial"/>
                <w:highlight w:val="yellow"/>
              </w:rPr>
            </w:pPr>
            <w:r w:rsidRPr="003E6342">
              <w:rPr>
                <w:rFonts w:cs="Arial"/>
              </w:rPr>
              <w:t>0</w:t>
            </w:r>
          </w:p>
        </w:tc>
      </w:tr>
    </w:tbl>
    <w:p w14:paraId="4F99DB20"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70F24571" w14:textId="77777777" w:rsidTr="009E5F8C">
        <w:trPr>
          <w:cantSplit/>
        </w:trPr>
        <w:tc>
          <w:tcPr>
            <w:tcW w:w="4320" w:type="dxa"/>
          </w:tcPr>
          <w:p w14:paraId="5C784D0A" w14:textId="77777777" w:rsidR="00190CB2" w:rsidRPr="003E6342" w:rsidRDefault="00190CB2" w:rsidP="003E6342">
            <w:pPr>
              <w:widowControl w:val="0"/>
              <w:spacing w:after="0" w:line="240" w:lineRule="auto"/>
            </w:pPr>
            <w:r w:rsidRPr="003E6342">
              <w:rPr>
                <w:b/>
                <w:bCs/>
              </w:rPr>
              <w:t>Title</w:t>
            </w:r>
          </w:p>
        </w:tc>
        <w:tc>
          <w:tcPr>
            <w:tcW w:w="5270" w:type="dxa"/>
          </w:tcPr>
          <w:p w14:paraId="0E30607D" w14:textId="77777777" w:rsidR="00190CB2" w:rsidRPr="003E6342" w:rsidRDefault="00190CB2" w:rsidP="003E6342">
            <w:pPr>
              <w:widowControl w:val="0"/>
              <w:spacing w:after="0" w:line="240" w:lineRule="auto"/>
              <w:rPr>
                <w:rFonts w:cs="Arial"/>
                <w:highlight w:val="yellow"/>
              </w:rPr>
            </w:pPr>
            <w:r w:rsidRPr="003E6342">
              <w:rPr>
                <w:rFonts w:cs="Arial"/>
              </w:rPr>
              <w:t>Manager I</w:t>
            </w:r>
          </w:p>
        </w:tc>
      </w:tr>
    </w:tbl>
    <w:p w14:paraId="195EFC6F"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269A0AAE" w14:textId="77777777" w:rsidTr="009E5F8C">
        <w:trPr>
          <w:cantSplit/>
        </w:trPr>
        <w:tc>
          <w:tcPr>
            <w:tcW w:w="4320" w:type="dxa"/>
          </w:tcPr>
          <w:p w14:paraId="6C06F5E1" w14:textId="77777777" w:rsidR="00190CB2" w:rsidRPr="003E6342" w:rsidRDefault="00190CB2" w:rsidP="003E6342">
            <w:pPr>
              <w:widowControl w:val="0"/>
              <w:spacing w:after="0" w:line="240" w:lineRule="auto"/>
            </w:pPr>
            <w:r w:rsidRPr="003E6342">
              <w:rPr>
                <w:b/>
                <w:bCs/>
              </w:rPr>
              <w:t>Phone Number</w:t>
            </w:r>
          </w:p>
        </w:tc>
        <w:tc>
          <w:tcPr>
            <w:tcW w:w="5270" w:type="dxa"/>
          </w:tcPr>
          <w:p w14:paraId="6213A47C" w14:textId="77777777" w:rsidR="00190CB2" w:rsidRPr="003E6342" w:rsidRDefault="00190CB2" w:rsidP="003E6342">
            <w:pPr>
              <w:widowControl w:val="0"/>
              <w:spacing w:after="0" w:line="240" w:lineRule="auto"/>
              <w:rPr>
                <w:rFonts w:cs="Arial"/>
                <w:highlight w:val="yellow"/>
              </w:rPr>
            </w:pPr>
            <w:r w:rsidRPr="003E6342">
              <w:rPr>
                <w:rFonts w:cs="Arial"/>
              </w:rPr>
              <w:t>9162631575</w:t>
            </w:r>
          </w:p>
        </w:tc>
      </w:tr>
    </w:tbl>
    <w:p w14:paraId="7E9882AF"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62745D44" w14:textId="77777777" w:rsidTr="009E5F8C">
        <w:trPr>
          <w:cantSplit/>
        </w:trPr>
        <w:tc>
          <w:tcPr>
            <w:tcW w:w="4320" w:type="dxa"/>
          </w:tcPr>
          <w:p w14:paraId="3BDA6CBC" w14:textId="77777777" w:rsidR="00190CB2" w:rsidRPr="003E6342" w:rsidRDefault="00190CB2" w:rsidP="003E6342">
            <w:pPr>
              <w:widowControl w:val="0"/>
              <w:spacing w:after="0" w:line="240" w:lineRule="auto"/>
            </w:pPr>
            <w:r w:rsidRPr="003E6342">
              <w:rPr>
                <w:b/>
                <w:bCs/>
              </w:rPr>
              <w:t>Extension</w:t>
            </w:r>
          </w:p>
        </w:tc>
        <w:tc>
          <w:tcPr>
            <w:tcW w:w="5270" w:type="dxa"/>
          </w:tcPr>
          <w:p w14:paraId="458A3732" w14:textId="77777777" w:rsidR="00190CB2" w:rsidRPr="003E6342" w:rsidRDefault="00190CB2" w:rsidP="003E6342">
            <w:pPr>
              <w:widowControl w:val="0"/>
              <w:spacing w:after="0" w:line="240" w:lineRule="auto"/>
              <w:rPr>
                <w:rFonts w:cs="Arial"/>
                <w:highlight w:val="yellow"/>
              </w:rPr>
            </w:pPr>
            <w:r w:rsidRPr="003E6342">
              <w:rPr>
                <w:rFonts w:cs="Arial"/>
              </w:rPr>
              <w:t>0</w:t>
            </w:r>
          </w:p>
        </w:tc>
      </w:tr>
    </w:tbl>
    <w:p w14:paraId="252AED52"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5364BB24" w14:textId="77777777" w:rsidTr="009E5F8C">
        <w:trPr>
          <w:cantSplit/>
        </w:trPr>
        <w:tc>
          <w:tcPr>
            <w:tcW w:w="4320" w:type="dxa"/>
          </w:tcPr>
          <w:p w14:paraId="7ADF20AD" w14:textId="77777777" w:rsidR="00190CB2" w:rsidRPr="003E6342" w:rsidRDefault="00190CB2" w:rsidP="003E6342">
            <w:pPr>
              <w:widowControl w:val="0"/>
              <w:spacing w:after="0" w:line="240" w:lineRule="auto"/>
            </w:pPr>
            <w:r w:rsidRPr="003E6342">
              <w:rPr>
                <w:b/>
                <w:bCs/>
              </w:rPr>
              <w:t>Email Address</w:t>
            </w:r>
          </w:p>
        </w:tc>
        <w:tc>
          <w:tcPr>
            <w:tcW w:w="5270" w:type="dxa"/>
          </w:tcPr>
          <w:p w14:paraId="5CF58E66" w14:textId="77777777" w:rsidR="00190CB2" w:rsidRPr="003E6342" w:rsidRDefault="00190CB2" w:rsidP="003E6342">
            <w:pPr>
              <w:widowControl w:val="0"/>
              <w:spacing w:after="0" w:line="240" w:lineRule="auto"/>
              <w:rPr>
                <w:rFonts w:cs="Arial"/>
                <w:highlight w:val="yellow"/>
              </w:rPr>
            </w:pPr>
            <w:r w:rsidRPr="003E6342">
              <w:rPr>
                <w:rFonts w:cs="Arial"/>
              </w:rPr>
              <w:t>john.alexander@hcd.ca.gov</w:t>
            </w:r>
          </w:p>
        </w:tc>
      </w:tr>
    </w:tbl>
    <w:p w14:paraId="5A6C36FB" w14:textId="77777777" w:rsidR="00190CB2" w:rsidRPr="003E6342" w:rsidRDefault="00190CB2" w:rsidP="00802696">
      <w:pPr>
        <w:widowControl w:val="0"/>
        <w:spacing w:after="0" w:line="240" w:lineRule="auto"/>
        <w:rPr>
          <w:b/>
          <w:szCs w:val="24"/>
        </w:rPr>
      </w:pPr>
    </w:p>
    <w:p w14:paraId="04863266" w14:textId="77777777" w:rsidR="00190CB2" w:rsidRPr="003E6342" w:rsidRDefault="00190CB2" w:rsidP="003E6342">
      <w:pPr>
        <w:widowControl w:val="0"/>
        <w:spacing w:after="0" w:line="240" w:lineRule="auto"/>
        <w:rPr>
          <w:b/>
          <w:szCs w:val="24"/>
        </w:rPr>
      </w:pPr>
      <w:r w:rsidRPr="003E6342">
        <w:rPr>
          <w:b/>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190CB2" w:rsidRPr="003E6342" w14:paraId="56052433" w14:textId="77777777" w:rsidTr="009E5F8C">
        <w:trPr>
          <w:cantSplit/>
        </w:trPr>
        <w:tc>
          <w:tcPr>
            <w:tcW w:w="4320" w:type="dxa"/>
          </w:tcPr>
          <w:p w14:paraId="2B482628" w14:textId="77777777" w:rsidR="00190CB2" w:rsidRPr="003E6342" w:rsidRDefault="00190CB2" w:rsidP="003E6342">
            <w:pPr>
              <w:widowControl w:val="0"/>
              <w:spacing w:after="0" w:line="240" w:lineRule="auto"/>
            </w:pPr>
            <w:r w:rsidRPr="003E6342">
              <w:rPr>
                <w:b/>
                <w:bCs/>
              </w:rPr>
              <w:t>Program Year Start Date</w:t>
            </w:r>
          </w:p>
        </w:tc>
        <w:tc>
          <w:tcPr>
            <w:tcW w:w="5270" w:type="dxa"/>
          </w:tcPr>
          <w:p w14:paraId="09ECA1BA" w14:textId="77777777" w:rsidR="00190CB2" w:rsidRPr="003E6342" w:rsidRDefault="00190CB2" w:rsidP="003E6342">
            <w:pPr>
              <w:widowControl w:val="0"/>
              <w:spacing w:after="0" w:line="240" w:lineRule="auto"/>
              <w:rPr>
                <w:rFonts w:cs="Arial"/>
              </w:rPr>
            </w:pPr>
            <w:r w:rsidRPr="003E6342">
              <w:rPr>
                <w:rFonts w:cs="Arial"/>
              </w:rPr>
              <w:t>07/01/2015</w:t>
            </w:r>
          </w:p>
        </w:tc>
      </w:tr>
    </w:tbl>
    <w:p w14:paraId="1E4AAB3F" w14:textId="77777777" w:rsidR="00190CB2" w:rsidRPr="003E6342" w:rsidRDefault="00190CB2" w:rsidP="00802696">
      <w:pPr>
        <w:widowControl w:val="0"/>
        <w:spacing w:after="0" w:line="240" w:lineRule="auto"/>
        <w:rPr>
          <w:b/>
          <w:vanish/>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6487"/>
        <w:gridCol w:w="7913"/>
      </w:tblGrid>
      <w:tr w:rsidR="003E6342" w:rsidRPr="003E6342" w14:paraId="026D8AC2" w14:textId="77777777" w:rsidTr="009E5F8C">
        <w:trPr>
          <w:cantSplit/>
        </w:trPr>
        <w:tc>
          <w:tcPr>
            <w:tcW w:w="4320" w:type="dxa"/>
          </w:tcPr>
          <w:p w14:paraId="319846E3" w14:textId="77777777" w:rsidR="00190CB2" w:rsidRPr="003E6342" w:rsidRDefault="00190CB2" w:rsidP="003E6342">
            <w:pPr>
              <w:widowControl w:val="0"/>
              <w:spacing w:after="0" w:line="240" w:lineRule="auto"/>
            </w:pPr>
            <w:r w:rsidRPr="003E6342">
              <w:rPr>
                <w:b/>
                <w:bCs/>
              </w:rPr>
              <w:t>Program Year End Date</w:t>
            </w:r>
          </w:p>
        </w:tc>
        <w:tc>
          <w:tcPr>
            <w:tcW w:w="5270" w:type="dxa"/>
          </w:tcPr>
          <w:p w14:paraId="39E43261" w14:textId="77777777" w:rsidR="00190CB2" w:rsidRPr="003E6342" w:rsidRDefault="00190CB2" w:rsidP="003E6342">
            <w:pPr>
              <w:widowControl w:val="0"/>
              <w:spacing w:after="0" w:line="240" w:lineRule="auto"/>
              <w:rPr>
                <w:rFonts w:cs="Arial"/>
                <w:highlight w:val="yellow"/>
              </w:rPr>
            </w:pPr>
            <w:r w:rsidRPr="003E6342">
              <w:rPr>
                <w:rFonts w:cs="Arial"/>
              </w:rPr>
              <w:t>06/30/2016</w:t>
            </w:r>
          </w:p>
        </w:tc>
      </w:tr>
    </w:tbl>
    <w:p w14:paraId="3F70EDF2" w14:textId="77777777" w:rsidR="00190CB2" w:rsidRPr="003E6342" w:rsidRDefault="00190CB2" w:rsidP="003E6342">
      <w:pPr>
        <w:widowControl w:val="0"/>
        <w:spacing w:after="0" w:line="240" w:lineRule="auto"/>
        <w:rPr>
          <w:b/>
          <w:szCs w:val="24"/>
        </w:rPr>
      </w:pPr>
    </w:p>
    <w:p w14:paraId="6A6542F7" w14:textId="77777777" w:rsidR="00190CB2" w:rsidRPr="003E6342" w:rsidRDefault="00190CB2" w:rsidP="003E6342">
      <w:pPr>
        <w:widowControl w:val="0"/>
        <w:spacing w:after="0" w:line="240" w:lineRule="auto"/>
        <w:rPr>
          <w:b/>
          <w:szCs w:val="24"/>
        </w:rPr>
      </w:pPr>
      <w:r w:rsidRPr="003E6342">
        <w:rPr>
          <w:b/>
          <w:szCs w:val="24"/>
        </w:rPr>
        <w:t>3a. Subrecipient Form – Complete one form for each subrecipient</w:t>
      </w:r>
    </w:p>
    <w:tbl>
      <w:tblPr>
        <w:tblW w:w="5000" w:type="pct"/>
        <w:tblInd w:w="115" w:type="dxa"/>
        <w:tblLayout w:type="fixed"/>
        <w:tblCellMar>
          <w:left w:w="115" w:type="dxa"/>
          <w:right w:w="115" w:type="dxa"/>
        </w:tblCellMar>
        <w:tblLook w:val="01E0" w:firstRow="1" w:lastRow="1" w:firstColumn="1" w:lastColumn="1" w:noHBand="0" w:noVBand="0"/>
      </w:tblPr>
      <w:tblGrid>
        <w:gridCol w:w="14400"/>
      </w:tblGrid>
      <w:tr w:rsidR="003E6342" w:rsidRPr="003E6342" w14:paraId="71FFEBE2" w14:textId="77777777" w:rsidTr="009E5F8C">
        <w:trPr>
          <w:cantSplit/>
        </w:trPr>
        <w:tc>
          <w:tcPr>
            <w:tcW w:w="9590" w:type="dxa"/>
            <w:vAlign w:val="bottom"/>
          </w:tcPr>
          <w:p w14:paraId="49C6FDB5" w14:textId="77777777" w:rsidR="00190CB2" w:rsidRPr="003E6342" w:rsidRDefault="00190CB2" w:rsidP="003E6342">
            <w:pPr>
              <w:widowControl w:val="0"/>
              <w:spacing w:after="0" w:line="240" w:lineRule="auto"/>
            </w:pPr>
            <w:r w:rsidRPr="003E6342">
              <w:rPr>
                <w:b/>
              </w:rPr>
              <w:t>Subrecipient or Contractor Name:</w:t>
            </w:r>
            <w:r w:rsidRPr="003E6342">
              <w:t xml:space="preserve"> ABODE SERVICES</w:t>
            </w:r>
            <w:r w:rsidRPr="003E6342">
              <w:br/>
            </w:r>
            <w:r w:rsidRPr="003E6342">
              <w:rPr>
                <w:b/>
              </w:rPr>
              <w:t>City:</w:t>
            </w:r>
            <w:r w:rsidRPr="003E6342">
              <w:t xml:space="preserve"> Fremont</w:t>
            </w:r>
            <w:r w:rsidRPr="003E6342">
              <w:br/>
            </w:r>
            <w:r w:rsidRPr="003E6342">
              <w:rPr>
                <w:b/>
              </w:rPr>
              <w:t>State:</w:t>
            </w:r>
            <w:r w:rsidRPr="003E6342">
              <w:t xml:space="preserve"> CA</w:t>
            </w:r>
            <w:r w:rsidRPr="003E6342">
              <w:br/>
            </w:r>
            <w:r w:rsidRPr="003E6342">
              <w:rPr>
                <w:b/>
              </w:rPr>
              <w:t>Zip Code:</w:t>
            </w:r>
            <w:r w:rsidRPr="003E6342">
              <w:t xml:space="preserve"> 94538, 4306</w:t>
            </w:r>
            <w:r w:rsidRPr="003E6342">
              <w:br/>
            </w:r>
            <w:r w:rsidRPr="003E6342">
              <w:rPr>
                <w:b/>
              </w:rPr>
              <w:t>DUNS Number:</w:t>
            </w:r>
            <w:r w:rsidRPr="003E6342">
              <w:t xml:space="preserve"> 111131111</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200000</w:t>
            </w:r>
            <w:r w:rsidRPr="003E6342">
              <w:br/>
            </w:r>
          </w:p>
        </w:tc>
      </w:tr>
      <w:tr w:rsidR="003E6342" w:rsidRPr="003E6342" w14:paraId="338AF8D0" w14:textId="77777777" w:rsidTr="009E5F8C">
        <w:trPr>
          <w:cantSplit/>
        </w:trPr>
        <w:tc>
          <w:tcPr>
            <w:tcW w:w="9590" w:type="dxa"/>
            <w:vAlign w:val="bottom"/>
          </w:tcPr>
          <w:p w14:paraId="020922DC" w14:textId="77777777" w:rsidR="00190CB2" w:rsidRPr="003E6342" w:rsidRDefault="00190CB2" w:rsidP="003E6342">
            <w:pPr>
              <w:widowControl w:val="0"/>
              <w:spacing w:after="0" w:line="240" w:lineRule="auto"/>
            </w:pPr>
            <w:r w:rsidRPr="003E6342">
              <w:rPr>
                <w:b/>
              </w:rPr>
              <w:lastRenderedPageBreak/>
              <w:t>Subrecipient or Contractor Name:</w:t>
            </w:r>
            <w:r w:rsidRPr="003E6342">
              <w:t xml:space="preserve"> HOMELESS COALITION OF SAN BENITO COUNTY</w:t>
            </w:r>
            <w:r w:rsidRPr="003E6342">
              <w:br/>
            </w:r>
            <w:r w:rsidRPr="003E6342">
              <w:rPr>
                <w:b/>
              </w:rPr>
              <w:t>City:</w:t>
            </w:r>
            <w:r w:rsidRPr="003E6342">
              <w:t xml:space="preserve"> Hollister</w:t>
            </w:r>
            <w:r w:rsidRPr="003E6342">
              <w:br/>
            </w:r>
            <w:r w:rsidRPr="003E6342">
              <w:rPr>
                <w:b/>
              </w:rPr>
              <w:t>State:</w:t>
            </w:r>
            <w:r w:rsidRPr="003E6342">
              <w:t xml:space="preserve"> CA</w:t>
            </w:r>
            <w:r w:rsidRPr="003E6342">
              <w:br/>
            </w:r>
            <w:r w:rsidRPr="003E6342">
              <w:rPr>
                <w:b/>
              </w:rPr>
              <w:t>Zip Code:</w:t>
            </w:r>
            <w:r w:rsidRPr="003E6342">
              <w:t xml:space="preserve"> 95024, 2710</w:t>
            </w:r>
            <w:r w:rsidRPr="003E6342">
              <w:br/>
            </w:r>
            <w:r w:rsidRPr="003E6342">
              <w:rPr>
                <w:b/>
              </w:rPr>
              <w:t>DUNS Number:</w:t>
            </w:r>
            <w:r w:rsidRPr="003E6342">
              <w:t xml:space="preserve"> 933317591</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133780</w:t>
            </w:r>
            <w:r w:rsidRPr="003E6342">
              <w:br/>
            </w:r>
          </w:p>
        </w:tc>
      </w:tr>
      <w:tr w:rsidR="003E6342" w:rsidRPr="003E6342" w14:paraId="17DCB156" w14:textId="77777777" w:rsidTr="009E5F8C">
        <w:trPr>
          <w:cantSplit/>
        </w:trPr>
        <w:tc>
          <w:tcPr>
            <w:tcW w:w="9590" w:type="dxa"/>
            <w:vAlign w:val="bottom"/>
          </w:tcPr>
          <w:p w14:paraId="75780174" w14:textId="77777777" w:rsidR="00190CB2" w:rsidRPr="003E6342" w:rsidRDefault="00190CB2" w:rsidP="003E6342">
            <w:pPr>
              <w:widowControl w:val="0"/>
              <w:spacing w:after="0" w:line="240" w:lineRule="auto"/>
            </w:pPr>
            <w:r w:rsidRPr="003E6342">
              <w:rPr>
                <w:b/>
              </w:rPr>
              <w:t>Subrecipient or Contractor Name:</w:t>
            </w:r>
            <w:r w:rsidRPr="003E6342">
              <w:t xml:space="preserve"> ARCATA HOUSE, INC.</w:t>
            </w:r>
            <w:r w:rsidRPr="003E6342">
              <w:br/>
            </w:r>
            <w:r w:rsidRPr="003E6342">
              <w:rPr>
                <w:b/>
              </w:rPr>
              <w:t>City:</w:t>
            </w:r>
            <w:r w:rsidRPr="003E6342">
              <w:t xml:space="preserve"> Arcata</w:t>
            </w:r>
            <w:r w:rsidRPr="003E6342">
              <w:br/>
            </w:r>
            <w:r w:rsidRPr="003E6342">
              <w:rPr>
                <w:b/>
              </w:rPr>
              <w:t>State:</w:t>
            </w:r>
            <w:r w:rsidRPr="003E6342">
              <w:t xml:space="preserve"> CA</w:t>
            </w:r>
            <w:r w:rsidRPr="003E6342">
              <w:br/>
            </w:r>
            <w:r w:rsidRPr="003E6342">
              <w:rPr>
                <w:b/>
              </w:rPr>
              <w:t>Zip Code:</w:t>
            </w:r>
            <w:r w:rsidRPr="003E6342">
              <w:t xml:space="preserve"> 95521, 5502</w:t>
            </w:r>
            <w:r w:rsidRPr="003E6342">
              <w:br/>
            </w:r>
            <w:r w:rsidRPr="003E6342">
              <w:rPr>
                <w:b/>
              </w:rPr>
              <w:t>DUNS Number:</w:t>
            </w:r>
            <w:r w:rsidRPr="003E6342">
              <w:t xml:space="preserve"> 011854150</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243253</w:t>
            </w:r>
            <w:r w:rsidRPr="003E6342">
              <w:br/>
            </w:r>
          </w:p>
        </w:tc>
      </w:tr>
      <w:tr w:rsidR="003E6342" w:rsidRPr="003E6342" w14:paraId="78A36769" w14:textId="77777777" w:rsidTr="009E5F8C">
        <w:trPr>
          <w:cantSplit/>
        </w:trPr>
        <w:tc>
          <w:tcPr>
            <w:tcW w:w="9590" w:type="dxa"/>
            <w:vAlign w:val="bottom"/>
          </w:tcPr>
          <w:p w14:paraId="088BDCD4" w14:textId="77777777" w:rsidR="00190CB2" w:rsidRPr="003E6342" w:rsidRDefault="00190CB2" w:rsidP="003E6342">
            <w:pPr>
              <w:widowControl w:val="0"/>
              <w:spacing w:after="0" w:line="240" w:lineRule="auto"/>
            </w:pPr>
            <w:r w:rsidRPr="003E6342">
              <w:rPr>
                <w:b/>
              </w:rPr>
              <w:t>Subrecipient or Contractor Name:</w:t>
            </w:r>
            <w:r w:rsidRPr="003E6342">
              <w:t xml:space="preserve"> FOOTHILL HOUSE OF HOSPITALITY</w:t>
            </w:r>
            <w:r w:rsidRPr="003E6342">
              <w:br/>
            </w:r>
            <w:r w:rsidRPr="003E6342">
              <w:rPr>
                <w:b/>
              </w:rPr>
              <w:t>City:</w:t>
            </w:r>
            <w:r w:rsidRPr="003E6342">
              <w:t xml:space="preserve"> Grass Valley</w:t>
            </w:r>
            <w:r w:rsidRPr="003E6342">
              <w:br/>
            </w:r>
            <w:r w:rsidRPr="003E6342">
              <w:rPr>
                <w:b/>
              </w:rPr>
              <w:t>State:</w:t>
            </w:r>
            <w:r w:rsidRPr="003E6342">
              <w:t xml:space="preserve"> CA</w:t>
            </w:r>
            <w:r w:rsidRPr="003E6342">
              <w:br/>
            </w:r>
            <w:r w:rsidRPr="003E6342">
              <w:rPr>
                <w:b/>
              </w:rPr>
              <w:t>Zip Code:</w:t>
            </w:r>
            <w:r w:rsidRPr="003E6342">
              <w:t xml:space="preserve"> 95945, 6704</w:t>
            </w:r>
            <w:r w:rsidRPr="003E6342">
              <w:br/>
            </w:r>
            <w:r w:rsidRPr="003E6342">
              <w:rPr>
                <w:b/>
              </w:rPr>
              <w:t>DUNS Number:</w:t>
            </w:r>
            <w:r w:rsidRPr="003E6342">
              <w:t xml:space="preserve"> 006461814</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317845</w:t>
            </w:r>
            <w:r w:rsidRPr="003E6342">
              <w:br/>
            </w:r>
          </w:p>
        </w:tc>
      </w:tr>
      <w:tr w:rsidR="003E6342" w:rsidRPr="003E6342" w14:paraId="6C0B9B9D" w14:textId="77777777" w:rsidTr="009E5F8C">
        <w:trPr>
          <w:cantSplit/>
        </w:trPr>
        <w:tc>
          <w:tcPr>
            <w:tcW w:w="9590" w:type="dxa"/>
            <w:vAlign w:val="bottom"/>
          </w:tcPr>
          <w:p w14:paraId="2FC32267" w14:textId="77777777" w:rsidR="00190CB2" w:rsidRPr="003E6342" w:rsidRDefault="00190CB2" w:rsidP="003E6342">
            <w:pPr>
              <w:widowControl w:val="0"/>
              <w:spacing w:after="0" w:line="240" w:lineRule="auto"/>
            </w:pPr>
            <w:r w:rsidRPr="003E6342">
              <w:rPr>
                <w:b/>
              </w:rPr>
              <w:lastRenderedPageBreak/>
              <w:t>Subrecipient or Contractor Name:</w:t>
            </w:r>
            <w:r w:rsidRPr="003E6342">
              <w:t xml:space="preserve"> MARTHA'S VILLAGE &amp; KITCHEN, INC</w:t>
            </w:r>
            <w:r w:rsidRPr="003E6342">
              <w:br/>
            </w:r>
            <w:r w:rsidRPr="003E6342">
              <w:rPr>
                <w:b/>
              </w:rPr>
              <w:t>City:</w:t>
            </w:r>
            <w:r w:rsidRPr="003E6342">
              <w:t xml:space="preserve"> San Diego</w:t>
            </w:r>
            <w:r w:rsidRPr="003E6342">
              <w:br/>
            </w:r>
            <w:r w:rsidRPr="003E6342">
              <w:rPr>
                <w:b/>
              </w:rPr>
              <w:t>State:</w:t>
            </w:r>
            <w:r w:rsidRPr="003E6342">
              <w:t xml:space="preserve"> CA</w:t>
            </w:r>
            <w:r w:rsidRPr="003E6342">
              <w:br/>
            </w:r>
            <w:r w:rsidRPr="003E6342">
              <w:rPr>
                <w:b/>
              </w:rPr>
              <w:t>Zip Code:</w:t>
            </w:r>
            <w:r w:rsidRPr="003E6342">
              <w:t xml:space="preserve"> 92102, 3332</w:t>
            </w:r>
            <w:r w:rsidRPr="003E6342">
              <w:br/>
            </w:r>
            <w:r w:rsidRPr="003E6342">
              <w:rPr>
                <w:b/>
              </w:rPr>
              <w:t>DUNS Number:</w:t>
            </w:r>
            <w:r w:rsidRPr="003E6342">
              <w:t xml:space="preserve"> 123443157</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168000</w:t>
            </w:r>
            <w:r w:rsidRPr="003E6342">
              <w:br/>
            </w:r>
          </w:p>
        </w:tc>
      </w:tr>
      <w:tr w:rsidR="003E6342" w:rsidRPr="003E6342" w14:paraId="6AAF44D8" w14:textId="77777777" w:rsidTr="009E5F8C">
        <w:trPr>
          <w:cantSplit/>
        </w:trPr>
        <w:tc>
          <w:tcPr>
            <w:tcW w:w="9590" w:type="dxa"/>
            <w:vAlign w:val="bottom"/>
          </w:tcPr>
          <w:p w14:paraId="145DB9D8" w14:textId="77777777" w:rsidR="00190CB2" w:rsidRPr="003E6342" w:rsidRDefault="00190CB2" w:rsidP="003E6342">
            <w:pPr>
              <w:widowControl w:val="0"/>
              <w:spacing w:after="0" w:line="240" w:lineRule="auto"/>
            </w:pPr>
            <w:r w:rsidRPr="003E6342">
              <w:rPr>
                <w:b/>
              </w:rPr>
              <w:t>Subrecipient or Contractor Name:</w:t>
            </w:r>
            <w:r w:rsidRPr="003E6342">
              <w:t xml:space="preserve"> COMMUNITY ACTION OF NAPA VALLEY</w:t>
            </w:r>
            <w:r w:rsidRPr="003E6342">
              <w:br/>
            </w:r>
            <w:r w:rsidRPr="003E6342">
              <w:rPr>
                <w:b/>
              </w:rPr>
              <w:t>City:</w:t>
            </w:r>
            <w:r w:rsidRPr="003E6342">
              <w:t xml:space="preserve"> Napa</w:t>
            </w:r>
            <w:r w:rsidRPr="003E6342">
              <w:br/>
            </w:r>
            <w:r w:rsidRPr="003E6342">
              <w:rPr>
                <w:b/>
              </w:rPr>
              <w:t>State:</w:t>
            </w:r>
            <w:r w:rsidRPr="003E6342">
              <w:t xml:space="preserve"> CA</w:t>
            </w:r>
            <w:r w:rsidRPr="003E6342">
              <w:br/>
            </w:r>
            <w:r w:rsidRPr="003E6342">
              <w:rPr>
                <w:b/>
              </w:rPr>
              <w:t>Zip Code:</w:t>
            </w:r>
            <w:r w:rsidRPr="003E6342">
              <w:t xml:space="preserve"> 94559, 3155</w:t>
            </w:r>
            <w:r w:rsidRPr="003E6342">
              <w:br/>
            </w:r>
            <w:r w:rsidRPr="003E6342">
              <w:rPr>
                <w:b/>
              </w:rPr>
              <w:t>DUNS Number:</w:t>
            </w:r>
            <w:r w:rsidRPr="003E6342">
              <w:t xml:space="preserve"> 119843340</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200000</w:t>
            </w:r>
            <w:r w:rsidRPr="003E6342">
              <w:br/>
            </w:r>
          </w:p>
        </w:tc>
      </w:tr>
      <w:tr w:rsidR="003E6342" w:rsidRPr="003E6342" w14:paraId="19AE55F2" w14:textId="77777777" w:rsidTr="009E5F8C">
        <w:trPr>
          <w:cantSplit/>
        </w:trPr>
        <w:tc>
          <w:tcPr>
            <w:tcW w:w="9590" w:type="dxa"/>
            <w:vAlign w:val="bottom"/>
          </w:tcPr>
          <w:p w14:paraId="60F10735" w14:textId="77777777" w:rsidR="00190CB2" w:rsidRPr="003E6342" w:rsidRDefault="00190CB2" w:rsidP="003E6342">
            <w:pPr>
              <w:widowControl w:val="0"/>
              <w:spacing w:after="0" w:line="240" w:lineRule="auto"/>
            </w:pPr>
            <w:r w:rsidRPr="003E6342">
              <w:rPr>
                <w:b/>
              </w:rPr>
              <w:t>Subrecipient or Contractor Name:</w:t>
            </w:r>
            <w:r w:rsidRPr="003E6342">
              <w:t xml:space="preserve"> TURNING POINT FOUNDATION</w:t>
            </w:r>
            <w:r w:rsidRPr="003E6342">
              <w:br/>
            </w:r>
            <w:r w:rsidRPr="003E6342">
              <w:rPr>
                <w:b/>
              </w:rPr>
              <w:t>City:</w:t>
            </w:r>
            <w:r w:rsidRPr="003E6342">
              <w:t xml:space="preserve"> Ventura</w:t>
            </w:r>
            <w:r w:rsidRPr="003E6342">
              <w:br/>
            </w:r>
            <w:r w:rsidRPr="003E6342">
              <w:rPr>
                <w:b/>
              </w:rPr>
              <w:t>State:</w:t>
            </w:r>
            <w:r w:rsidRPr="003E6342">
              <w:t xml:space="preserve"> CA</w:t>
            </w:r>
            <w:r w:rsidRPr="003E6342">
              <w:br/>
            </w:r>
            <w:r w:rsidRPr="003E6342">
              <w:rPr>
                <w:b/>
              </w:rPr>
              <w:t>Zip Code:</w:t>
            </w:r>
            <w:r w:rsidRPr="003E6342">
              <w:t xml:space="preserve"> 93001, 4615</w:t>
            </w:r>
            <w:r w:rsidRPr="003E6342">
              <w:br/>
            </w:r>
            <w:r w:rsidRPr="003E6342">
              <w:rPr>
                <w:b/>
              </w:rPr>
              <w:t>DUNS Number:</w:t>
            </w:r>
            <w:r w:rsidRPr="003E6342">
              <w:t xml:space="preserve"> 608847216</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228384</w:t>
            </w:r>
            <w:r w:rsidRPr="003E6342">
              <w:br/>
            </w:r>
          </w:p>
        </w:tc>
      </w:tr>
      <w:tr w:rsidR="003E6342" w:rsidRPr="003E6342" w14:paraId="0CA109F1" w14:textId="77777777" w:rsidTr="009E5F8C">
        <w:trPr>
          <w:cantSplit/>
        </w:trPr>
        <w:tc>
          <w:tcPr>
            <w:tcW w:w="9590" w:type="dxa"/>
            <w:vAlign w:val="bottom"/>
          </w:tcPr>
          <w:p w14:paraId="5023E8A6" w14:textId="77777777" w:rsidR="00190CB2" w:rsidRPr="003E6342" w:rsidRDefault="00190CB2" w:rsidP="003E6342">
            <w:pPr>
              <w:widowControl w:val="0"/>
              <w:spacing w:after="0" w:line="240" w:lineRule="auto"/>
            </w:pPr>
            <w:r w:rsidRPr="003E6342">
              <w:rPr>
                <w:b/>
              </w:rPr>
              <w:lastRenderedPageBreak/>
              <w:t>Subrecipient or Contractor Name:</w:t>
            </w:r>
            <w:r w:rsidRPr="003E6342">
              <w:t xml:space="preserve"> THE SALVATION ARNY</w:t>
            </w:r>
            <w:r w:rsidRPr="003E6342">
              <w:br/>
            </w:r>
            <w:r w:rsidRPr="003E6342">
              <w:rPr>
                <w:b/>
              </w:rPr>
              <w:t>City:</w:t>
            </w:r>
            <w:r w:rsidRPr="003E6342">
              <w:t xml:space="preserve"> Grass Valley</w:t>
            </w:r>
            <w:r w:rsidRPr="003E6342">
              <w:br/>
            </w:r>
            <w:r w:rsidRPr="003E6342">
              <w:rPr>
                <w:b/>
              </w:rPr>
              <w:t>State:</w:t>
            </w:r>
            <w:r w:rsidRPr="003E6342">
              <w:t xml:space="preserve"> CA</w:t>
            </w:r>
            <w:r w:rsidRPr="003E6342">
              <w:br/>
            </w:r>
            <w:r w:rsidRPr="003E6342">
              <w:rPr>
                <w:b/>
              </w:rPr>
              <w:t>Zip Code:</w:t>
            </w:r>
            <w:r w:rsidRPr="003E6342">
              <w:t xml:space="preserve"> 95945, 5509</w:t>
            </w:r>
            <w:r w:rsidRPr="003E6342">
              <w:br/>
            </w:r>
            <w:r w:rsidRPr="003E6342">
              <w:rPr>
                <w:b/>
              </w:rPr>
              <w:t>DUNS Number:</w:t>
            </w:r>
            <w:r w:rsidRPr="003E6342">
              <w:t xml:space="preserve"> 074629460</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76125</w:t>
            </w:r>
            <w:r w:rsidRPr="003E6342">
              <w:br/>
            </w:r>
          </w:p>
        </w:tc>
      </w:tr>
      <w:tr w:rsidR="003E6342" w:rsidRPr="003E6342" w14:paraId="3E0A918E" w14:textId="77777777" w:rsidTr="009E5F8C">
        <w:trPr>
          <w:cantSplit/>
        </w:trPr>
        <w:tc>
          <w:tcPr>
            <w:tcW w:w="9590" w:type="dxa"/>
            <w:vAlign w:val="bottom"/>
          </w:tcPr>
          <w:p w14:paraId="190709AB" w14:textId="77777777" w:rsidR="00190CB2" w:rsidRPr="003E6342" w:rsidRDefault="00190CB2" w:rsidP="003E6342">
            <w:pPr>
              <w:widowControl w:val="0"/>
              <w:spacing w:after="0" w:line="240" w:lineRule="auto"/>
            </w:pPr>
            <w:r w:rsidRPr="003E6342">
              <w:rPr>
                <w:b/>
              </w:rPr>
              <w:t>Subrecipient or Contractor Name:</w:t>
            </w:r>
            <w:r w:rsidRPr="003E6342">
              <w:t xml:space="preserve"> FULLERTON INTERFAITH EMERGENCY SERVICES</w:t>
            </w:r>
            <w:r w:rsidRPr="003E6342">
              <w:br/>
            </w:r>
            <w:r w:rsidRPr="003E6342">
              <w:rPr>
                <w:b/>
              </w:rPr>
              <w:t>City:</w:t>
            </w:r>
            <w:r w:rsidRPr="003E6342">
              <w:t xml:space="preserve"> Fullerton</w:t>
            </w:r>
            <w:r w:rsidRPr="003E6342">
              <w:br/>
            </w:r>
            <w:r w:rsidRPr="003E6342">
              <w:rPr>
                <w:b/>
              </w:rPr>
              <w:t>State:</w:t>
            </w:r>
            <w:r w:rsidRPr="003E6342">
              <w:t xml:space="preserve"> CA</w:t>
            </w:r>
            <w:r w:rsidRPr="003E6342">
              <w:br/>
            </w:r>
            <w:r w:rsidRPr="003E6342">
              <w:rPr>
                <w:b/>
              </w:rPr>
              <w:t>Zip Code:</w:t>
            </w:r>
            <w:r w:rsidRPr="003E6342">
              <w:t xml:space="preserve"> 92834, 6326</w:t>
            </w:r>
            <w:r w:rsidRPr="003E6342">
              <w:br/>
            </w:r>
            <w:r w:rsidRPr="003E6342">
              <w:rPr>
                <w:b/>
              </w:rPr>
              <w:t>DUNS Number:</w:t>
            </w:r>
            <w:r w:rsidRPr="003E6342">
              <w:t xml:space="preserve"> 555890946</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225235</w:t>
            </w:r>
            <w:r w:rsidRPr="003E6342">
              <w:br/>
            </w:r>
          </w:p>
        </w:tc>
      </w:tr>
      <w:tr w:rsidR="003E6342" w:rsidRPr="003E6342" w14:paraId="381B7048" w14:textId="77777777" w:rsidTr="009E5F8C">
        <w:trPr>
          <w:cantSplit/>
        </w:trPr>
        <w:tc>
          <w:tcPr>
            <w:tcW w:w="9590" w:type="dxa"/>
            <w:vAlign w:val="bottom"/>
          </w:tcPr>
          <w:p w14:paraId="367EC369" w14:textId="77777777" w:rsidR="00190CB2" w:rsidRPr="003E6342" w:rsidRDefault="00190CB2" w:rsidP="003E6342">
            <w:pPr>
              <w:widowControl w:val="0"/>
              <w:spacing w:after="0" w:line="240" w:lineRule="auto"/>
            </w:pPr>
            <w:r w:rsidRPr="003E6342">
              <w:rPr>
                <w:b/>
              </w:rPr>
              <w:t>Subrecipient or Contractor Name:</w:t>
            </w:r>
            <w:r w:rsidRPr="003E6342">
              <w:t xml:space="preserve"> Samaritan House</w:t>
            </w:r>
            <w:r w:rsidRPr="003E6342">
              <w:br/>
            </w:r>
            <w:r w:rsidRPr="003E6342">
              <w:rPr>
                <w:b/>
              </w:rPr>
              <w:t>City:</w:t>
            </w:r>
            <w:r w:rsidRPr="003E6342">
              <w:t xml:space="preserve"> San Mateo</w:t>
            </w:r>
            <w:r w:rsidRPr="003E6342">
              <w:br/>
            </w:r>
            <w:r w:rsidRPr="003E6342">
              <w:rPr>
                <w:b/>
              </w:rPr>
              <w:t>State:</w:t>
            </w:r>
            <w:r w:rsidRPr="003E6342">
              <w:t xml:space="preserve"> CA</w:t>
            </w:r>
            <w:r w:rsidRPr="003E6342">
              <w:br/>
            </w:r>
            <w:r w:rsidRPr="003E6342">
              <w:rPr>
                <w:b/>
              </w:rPr>
              <w:t>Zip Code:</w:t>
            </w:r>
            <w:r w:rsidRPr="003E6342">
              <w:t xml:space="preserve"> 94403, 4666</w:t>
            </w:r>
            <w:r w:rsidRPr="003E6342">
              <w:br/>
            </w:r>
            <w:r w:rsidRPr="003E6342">
              <w:rPr>
                <w:b/>
              </w:rPr>
              <w:t>DUNS Number:</w:t>
            </w:r>
            <w:r w:rsidRPr="003E6342">
              <w:t xml:space="preserve"> 884486341</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200000</w:t>
            </w:r>
            <w:r w:rsidRPr="003E6342">
              <w:br/>
            </w:r>
          </w:p>
        </w:tc>
      </w:tr>
      <w:tr w:rsidR="003E6342" w:rsidRPr="003E6342" w14:paraId="52F15DEC" w14:textId="77777777" w:rsidTr="009E5F8C">
        <w:trPr>
          <w:cantSplit/>
        </w:trPr>
        <w:tc>
          <w:tcPr>
            <w:tcW w:w="9590" w:type="dxa"/>
            <w:vAlign w:val="bottom"/>
          </w:tcPr>
          <w:p w14:paraId="0FAF4B88" w14:textId="77777777" w:rsidR="00190CB2" w:rsidRPr="003E6342" w:rsidRDefault="00190CB2" w:rsidP="003E6342">
            <w:pPr>
              <w:widowControl w:val="0"/>
              <w:spacing w:after="0" w:line="240" w:lineRule="auto"/>
            </w:pPr>
            <w:r w:rsidRPr="003E6342">
              <w:rPr>
                <w:b/>
              </w:rPr>
              <w:lastRenderedPageBreak/>
              <w:t>Subrecipient or Contractor Name:</w:t>
            </w:r>
            <w:r w:rsidRPr="003E6342">
              <w:t xml:space="preserve"> Ritter Center</w:t>
            </w:r>
            <w:r w:rsidRPr="003E6342">
              <w:br/>
            </w:r>
            <w:r w:rsidRPr="003E6342">
              <w:rPr>
                <w:b/>
              </w:rPr>
              <w:t>City:</w:t>
            </w:r>
            <w:r w:rsidRPr="003E6342">
              <w:t xml:space="preserve"> San Rafael</w:t>
            </w:r>
            <w:r w:rsidRPr="003E6342">
              <w:br/>
            </w:r>
            <w:r w:rsidRPr="003E6342">
              <w:rPr>
                <w:b/>
              </w:rPr>
              <w:t>State:</w:t>
            </w:r>
            <w:r w:rsidRPr="003E6342">
              <w:t xml:space="preserve"> CA</w:t>
            </w:r>
            <w:r w:rsidRPr="003E6342">
              <w:br/>
            </w:r>
            <w:r w:rsidRPr="003E6342">
              <w:rPr>
                <w:b/>
              </w:rPr>
              <w:t>Zip Code:</w:t>
            </w:r>
            <w:r w:rsidRPr="003E6342">
              <w:t xml:space="preserve"> 94912, 3517</w:t>
            </w:r>
            <w:r w:rsidRPr="003E6342">
              <w:br/>
            </w:r>
            <w:r w:rsidRPr="003E6342">
              <w:rPr>
                <w:b/>
              </w:rPr>
              <w:t>DUNS Number:</w:t>
            </w:r>
            <w:r w:rsidRPr="003E6342">
              <w:t xml:space="preserve"> 052949815</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142000</w:t>
            </w:r>
            <w:r w:rsidRPr="003E6342">
              <w:br/>
            </w:r>
          </w:p>
        </w:tc>
      </w:tr>
      <w:tr w:rsidR="003E6342" w:rsidRPr="003E6342" w14:paraId="58B6B0AB" w14:textId="77777777" w:rsidTr="009E5F8C">
        <w:trPr>
          <w:cantSplit/>
        </w:trPr>
        <w:tc>
          <w:tcPr>
            <w:tcW w:w="9590" w:type="dxa"/>
            <w:vAlign w:val="bottom"/>
          </w:tcPr>
          <w:p w14:paraId="10AD0572" w14:textId="77777777" w:rsidR="00190CB2" w:rsidRPr="003E6342" w:rsidRDefault="00190CB2" w:rsidP="003E6342">
            <w:pPr>
              <w:widowControl w:val="0"/>
              <w:spacing w:after="0" w:line="240" w:lineRule="auto"/>
            </w:pPr>
            <w:r w:rsidRPr="003E6342">
              <w:rPr>
                <w:b/>
              </w:rPr>
              <w:t>Subrecipient or Contractor Name:</w:t>
            </w:r>
            <w:r w:rsidRPr="003E6342">
              <w:t xml:space="preserve"> the Gathering Inn</w:t>
            </w:r>
            <w:r w:rsidRPr="003E6342">
              <w:br/>
            </w:r>
            <w:r w:rsidRPr="003E6342">
              <w:rPr>
                <w:b/>
              </w:rPr>
              <w:t>City:</w:t>
            </w:r>
            <w:r w:rsidRPr="003E6342">
              <w:t xml:space="preserve"> Roseville</w:t>
            </w:r>
            <w:r w:rsidRPr="003E6342">
              <w:br/>
            </w:r>
            <w:r w:rsidRPr="003E6342">
              <w:rPr>
                <w:b/>
              </w:rPr>
              <w:t>State:</w:t>
            </w:r>
            <w:r w:rsidRPr="003E6342">
              <w:t xml:space="preserve"> CA</w:t>
            </w:r>
            <w:r w:rsidRPr="003E6342">
              <w:br/>
            </w:r>
            <w:r w:rsidRPr="003E6342">
              <w:rPr>
                <w:b/>
              </w:rPr>
              <w:t>Zip Code:</w:t>
            </w:r>
            <w:r w:rsidRPr="003E6342">
              <w:t xml:space="preserve"> 95678, 0297</w:t>
            </w:r>
            <w:r w:rsidRPr="003E6342">
              <w:br/>
            </w:r>
            <w:r w:rsidRPr="003E6342">
              <w:rPr>
                <w:b/>
              </w:rPr>
              <w:t>DUNS Number:</w:t>
            </w:r>
            <w:r w:rsidRPr="003E6342">
              <w:t xml:space="preserve"> 189981918</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168385</w:t>
            </w:r>
            <w:r w:rsidRPr="003E6342">
              <w:br/>
            </w:r>
          </w:p>
        </w:tc>
      </w:tr>
      <w:tr w:rsidR="003E6342" w:rsidRPr="003E6342" w14:paraId="058A73A8" w14:textId="77777777" w:rsidTr="009E5F8C">
        <w:trPr>
          <w:cantSplit/>
        </w:trPr>
        <w:tc>
          <w:tcPr>
            <w:tcW w:w="9590" w:type="dxa"/>
            <w:vAlign w:val="bottom"/>
          </w:tcPr>
          <w:p w14:paraId="73A46A2F" w14:textId="77777777" w:rsidR="00190CB2" w:rsidRPr="003E6342" w:rsidRDefault="00190CB2" w:rsidP="003E6342">
            <w:pPr>
              <w:widowControl w:val="0"/>
              <w:spacing w:after="0" w:line="240" w:lineRule="auto"/>
            </w:pPr>
            <w:r w:rsidRPr="003E6342">
              <w:rPr>
                <w:b/>
              </w:rPr>
              <w:t>Subrecipient or Contractor Name:</w:t>
            </w:r>
            <w:r w:rsidRPr="003E6342">
              <w:t xml:space="preserve"> Alternatives to Violence</w:t>
            </w:r>
            <w:r w:rsidRPr="003E6342">
              <w:br/>
            </w:r>
            <w:r w:rsidRPr="003E6342">
              <w:rPr>
                <w:b/>
              </w:rPr>
              <w:t>City:</w:t>
            </w:r>
            <w:r w:rsidRPr="003E6342">
              <w:t xml:space="preserve"> Red Bluff</w:t>
            </w:r>
            <w:r w:rsidRPr="003E6342">
              <w:br/>
            </w:r>
            <w:r w:rsidRPr="003E6342">
              <w:rPr>
                <w:b/>
              </w:rPr>
              <w:t>State:</w:t>
            </w:r>
            <w:r w:rsidRPr="003E6342">
              <w:t xml:space="preserve"> CA</w:t>
            </w:r>
            <w:r w:rsidRPr="003E6342">
              <w:br/>
            </w:r>
            <w:r w:rsidRPr="003E6342">
              <w:rPr>
                <w:b/>
              </w:rPr>
              <w:t>Zip Code:</w:t>
            </w:r>
            <w:r w:rsidRPr="003E6342">
              <w:t xml:space="preserve"> 96080, 0135</w:t>
            </w:r>
            <w:r w:rsidRPr="003E6342">
              <w:br/>
            </w:r>
            <w:r w:rsidRPr="003E6342">
              <w:rPr>
                <w:b/>
              </w:rPr>
              <w:t>DUNS Number:</w:t>
            </w:r>
            <w:r w:rsidRPr="003E6342">
              <w:t xml:space="preserve"> 932055726</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200000</w:t>
            </w:r>
            <w:r w:rsidRPr="003E6342">
              <w:br/>
            </w:r>
          </w:p>
        </w:tc>
      </w:tr>
      <w:tr w:rsidR="003E6342" w:rsidRPr="003E6342" w14:paraId="72D54DE2" w14:textId="77777777" w:rsidTr="009E5F8C">
        <w:trPr>
          <w:cantSplit/>
        </w:trPr>
        <w:tc>
          <w:tcPr>
            <w:tcW w:w="9590" w:type="dxa"/>
            <w:vAlign w:val="bottom"/>
          </w:tcPr>
          <w:p w14:paraId="2B839AC5" w14:textId="77777777" w:rsidR="00190CB2" w:rsidRPr="003E6342" w:rsidRDefault="00190CB2" w:rsidP="003E6342">
            <w:pPr>
              <w:widowControl w:val="0"/>
              <w:spacing w:after="0" w:line="240" w:lineRule="auto"/>
            </w:pPr>
            <w:r w:rsidRPr="003E6342">
              <w:rPr>
                <w:b/>
              </w:rPr>
              <w:lastRenderedPageBreak/>
              <w:t>Subrecipient or Contractor Name:</w:t>
            </w:r>
            <w:r w:rsidRPr="003E6342">
              <w:t xml:space="preserve"> Yolo Wayfarer Center Christian Mission (Fourth and Hope)</w:t>
            </w:r>
            <w:r w:rsidRPr="003E6342">
              <w:br/>
            </w:r>
            <w:r w:rsidRPr="003E6342">
              <w:rPr>
                <w:b/>
              </w:rPr>
              <w:t>City:</w:t>
            </w:r>
            <w:r w:rsidRPr="003E6342">
              <w:t xml:space="preserve"> Woodland</w:t>
            </w:r>
            <w:r w:rsidRPr="003E6342">
              <w:br/>
            </w:r>
            <w:r w:rsidRPr="003E6342">
              <w:rPr>
                <w:b/>
              </w:rPr>
              <w:t>State:</w:t>
            </w:r>
            <w:r w:rsidRPr="003E6342">
              <w:t xml:space="preserve"> CA</w:t>
            </w:r>
            <w:r w:rsidRPr="003E6342">
              <w:br/>
            </w:r>
            <w:r w:rsidRPr="003E6342">
              <w:rPr>
                <w:b/>
              </w:rPr>
              <w:t>Zip Code:</w:t>
            </w:r>
            <w:r w:rsidRPr="003E6342">
              <w:t xml:space="preserve"> 95776, 1248</w:t>
            </w:r>
            <w:r w:rsidRPr="003E6342">
              <w:br/>
            </w:r>
            <w:r w:rsidRPr="003E6342">
              <w:rPr>
                <w:b/>
              </w:rPr>
              <w:t>DUNS Number:</w:t>
            </w:r>
            <w:r w:rsidRPr="003E6342">
              <w:t xml:space="preserve"> 184667079</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150000</w:t>
            </w:r>
            <w:r w:rsidRPr="003E6342">
              <w:br/>
            </w:r>
          </w:p>
        </w:tc>
      </w:tr>
      <w:tr w:rsidR="003E6342" w:rsidRPr="003E6342" w14:paraId="0215CEBF" w14:textId="77777777" w:rsidTr="009E5F8C">
        <w:trPr>
          <w:cantSplit/>
        </w:trPr>
        <w:tc>
          <w:tcPr>
            <w:tcW w:w="9590" w:type="dxa"/>
            <w:vAlign w:val="bottom"/>
          </w:tcPr>
          <w:p w14:paraId="7C19BA87" w14:textId="77777777" w:rsidR="00190CB2" w:rsidRPr="003E6342" w:rsidRDefault="00190CB2" w:rsidP="003E6342">
            <w:pPr>
              <w:widowControl w:val="0"/>
              <w:spacing w:after="0" w:line="240" w:lineRule="auto"/>
            </w:pPr>
            <w:r w:rsidRPr="003E6342">
              <w:rPr>
                <w:b/>
              </w:rPr>
              <w:t>Subrecipient or Contractor Name:</w:t>
            </w:r>
            <w:r w:rsidRPr="003E6342">
              <w:t xml:space="preserve"> Center for Domestic Peace</w:t>
            </w:r>
            <w:r w:rsidRPr="003E6342">
              <w:br/>
            </w:r>
            <w:r w:rsidRPr="003E6342">
              <w:rPr>
                <w:b/>
              </w:rPr>
              <w:t>City:</w:t>
            </w:r>
            <w:r w:rsidRPr="003E6342">
              <w:t xml:space="preserve"> San Rafael</w:t>
            </w:r>
            <w:r w:rsidRPr="003E6342">
              <w:br/>
            </w:r>
            <w:r w:rsidRPr="003E6342">
              <w:rPr>
                <w:b/>
              </w:rPr>
              <w:t>State:</w:t>
            </w:r>
            <w:r w:rsidRPr="003E6342">
              <w:t xml:space="preserve"> CA</w:t>
            </w:r>
            <w:r w:rsidRPr="003E6342">
              <w:br/>
            </w:r>
            <w:r w:rsidRPr="003E6342">
              <w:rPr>
                <w:b/>
              </w:rPr>
              <w:t>Zip Code:</w:t>
            </w:r>
            <w:r w:rsidRPr="003E6342">
              <w:t xml:space="preserve"> 94901, 3923</w:t>
            </w:r>
            <w:r w:rsidRPr="003E6342">
              <w:br/>
            </w:r>
            <w:r w:rsidRPr="003E6342">
              <w:rPr>
                <w:b/>
              </w:rPr>
              <w:t>DUNS Number:</w:t>
            </w:r>
            <w:r w:rsidRPr="003E6342">
              <w:t xml:space="preserve"> 057382079</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200000</w:t>
            </w:r>
            <w:r w:rsidRPr="003E6342">
              <w:br/>
            </w:r>
          </w:p>
        </w:tc>
      </w:tr>
      <w:tr w:rsidR="003E6342" w:rsidRPr="003E6342" w14:paraId="0BFE5C07" w14:textId="77777777" w:rsidTr="009E5F8C">
        <w:trPr>
          <w:cantSplit/>
        </w:trPr>
        <w:tc>
          <w:tcPr>
            <w:tcW w:w="9590" w:type="dxa"/>
            <w:vAlign w:val="bottom"/>
          </w:tcPr>
          <w:p w14:paraId="19A9390D" w14:textId="77777777" w:rsidR="00190CB2" w:rsidRPr="003E6342" w:rsidRDefault="00190CB2" w:rsidP="003E6342">
            <w:pPr>
              <w:widowControl w:val="0"/>
              <w:spacing w:after="0" w:line="240" w:lineRule="auto"/>
            </w:pPr>
            <w:r w:rsidRPr="003E6342">
              <w:rPr>
                <w:b/>
              </w:rPr>
              <w:t>Subrecipient or Contractor Name:</w:t>
            </w:r>
            <w:r w:rsidRPr="003E6342">
              <w:t xml:space="preserve"> Central California Family Crisis Center</w:t>
            </w:r>
            <w:r w:rsidRPr="003E6342">
              <w:br/>
            </w:r>
            <w:r w:rsidRPr="003E6342">
              <w:rPr>
                <w:b/>
              </w:rPr>
              <w:t>City:</w:t>
            </w:r>
            <w:r w:rsidRPr="003E6342">
              <w:t xml:space="preserve"> Porterville</w:t>
            </w:r>
            <w:r w:rsidRPr="003E6342">
              <w:br/>
            </w:r>
            <w:r w:rsidRPr="003E6342">
              <w:rPr>
                <w:b/>
              </w:rPr>
              <w:t>State:</w:t>
            </w:r>
            <w:r w:rsidRPr="003E6342">
              <w:t xml:space="preserve"> CA</w:t>
            </w:r>
            <w:r w:rsidRPr="003E6342">
              <w:br/>
            </w:r>
            <w:r w:rsidRPr="003E6342">
              <w:rPr>
                <w:b/>
              </w:rPr>
              <w:t>Zip Code:</w:t>
            </w:r>
            <w:r w:rsidRPr="003E6342">
              <w:t xml:space="preserve"> 93257, 2355</w:t>
            </w:r>
            <w:r w:rsidRPr="003E6342">
              <w:br/>
            </w:r>
            <w:r w:rsidRPr="003E6342">
              <w:rPr>
                <w:b/>
              </w:rPr>
              <w:t>DUNS Number:</w:t>
            </w:r>
            <w:r w:rsidRPr="003E6342">
              <w:t xml:space="preserve"> 173267618</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200000</w:t>
            </w:r>
            <w:r w:rsidRPr="003E6342">
              <w:br/>
            </w:r>
          </w:p>
        </w:tc>
      </w:tr>
      <w:tr w:rsidR="003E6342" w:rsidRPr="003E6342" w14:paraId="5464D403" w14:textId="77777777" w:rsidTr="009E5F8C">
        <w:trPr>
          <w:cantSplit/>
        </w:trPr>
        <w:tc>
          <w:tcPr>
            <w:tcW w:w="9590" w:type="dxa"/>
            <w:vAlign w:val="bottom"/>
          </w:tcPr>
          <w:p w14:paraId="381D3AC8" w14:textId="77777777" w:rsidR="00190CB2" w:rsidRPr="003E6342" w:rsidRDefault="00190CB2" w:rsidP="003E6342">
            <w:pPr>
              <w:widowControl w:val="0"/>
              <w:spacing w:after="0" w:line="240" w:lineRule="auto"/>
            </w:pPr>
            <w:r w:rsidRPr="003E6342">
              <w:rPr>
                <w:b/>
              </w:rPr>
              <w:lastRenderedPageBreak/>
              <w:t>Subrecipient or Contractor Name:</w:t>
            </w:r>
            <w:r w:rsidRPr="003E6342">
              <w:t xml:space="preserve"> Committee on the Shelterless</w:t>
            </w:r>
            <w:r w:rsidRPr="003E6342">
              <w:br/>
            </w:r>
            <w:r w:rsidRPr="003E6342">
              <w:rPr>
                <w:b/>
              </w:rPr>
              <w:t>City:</w:t>
            </w:r>
            <w:r w:rsidRPr="003E6342">
              <w:t xml:space="preserve"> Petaluma</w:t>
            </w:r>
            <w:r w:rsidRPr="003E6342">
              <w:br/>
            </w:r>
            <w:r w:rsidRPr="003E6342">
              <w:rPr>
                <w:b/>
              </w:rPr>
              <w:t>State:</w:t>
            </w:r>
            <w:r w:rsidRPr="003E6342">
              <w:t xml:space="preserve"> CA</w:t>
            </w:r>
            <w:r w:rsidRPr="003E6342">
              <w:br/>
            </w:r>
            <w:r w:rsidRPr="003E6342">
              <w:rPr>
                <w:b/>
              </w:rPr>
              <w:t>Zip Code:</w:t>
            </w:r>
            <w:r w:rsidRPr="003E6342">
              <w:t xml:space="preserve"> 94953, 2744</w:t>
            </w:r>
            <w:r w:rsidRPr="003E6342">
              <w:br/>
            </w:r>
            <w:r w:rsidRPr="003E6342">
              <w:rPr>
                <w:b/>
              </w:rPr>
              <w:t>DUNS Number:</w:t>
            </w:r>
            <w:r w:rsidRPr="003E6342">
              <w:t xml:space="preserve"> 960253235</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200000</w:t>
            </w:r>
            <w:r w:rsidRPr="003E6342">
              <w:br/>
            </w:r>
          </w:p>
        </w:tc>
      </w:tr>
      <w:tr w:rsidR="003E6342" w:rsidRPr="003E6342" w14:paraId="46FBB7A5" w14:textId="77777777" w:rsidTr="009E5F8C">
        <w:trPr>
          <w:cantSplit/>
        </w:trPr>
        <w:tc>
          <w:tcPr>
            <w:tcW w:w="9590" w:type="dxa"/>
            <w:vAlign w:val="bottom"/>
          </w:tcPr>
          <w:p w14:paraId="3B264A43" w14:textId="77777777" w:rsidR="00190CB2" w:rsidRPr="003E6342" w:rsidRDefault="00190CB2" w:rsidP="003E6342">
            <w:pPr>
              <w:widowControl w:val="0"/>
              <w:spacing w:after="0" w:line="240" w:lineRule="auto"/>
            </w:pPr>
            <w:r w:rsidRPr="003E6342">
              <w:rPr>
                <w:b/>
              </w:rPr>
              <w:t>Subrecipient or Contractor Name:</w:t>
            </w:r>
            <w:r w:rsidRPr="003E6342">
              <w:t xml:space="preserve"> WomanHaven, Inc.</w:t>
            </w:r>
            <w:r w:rsidRPr="003E6342">
              <w:br/>
            </w:r>
            <w:r w:rsidRPr="003E6342">
              <w:rPr>
                <w:b/>
              </w:rPr>
              <w:t>City:</w:t>
            </w:r>
            <w:r w:rsidRPr="003E6342">
              <w:t xml:space="preserve"> El Centro</w:t>
            </w:r>
            <w:r w:rsidRPr="003E6342">
              <w:br/>
            </w:r>
            <w:r w:rsidRPr="003E6342">
              <w:rPr>
                <w:b/>
              </w:rPr>
              <w:t>State:</w:t>
            </w:r>
            <w:r w:rsidRPr="003E6342">
              <w:t xml:space="preserve"> CA</w:t>
            </w:r>
            <w:r w:rsidRPr="003E6342">
              <w:br/>
            </w:r>
            <w:r w:rsidRPr="003E6342">
              <w:rPr>
                <w:b/>
              </w:rPr>
              <w:t>Zip Code:</w:t>
            </w:r>
            <w:r w:rsidRPr="003E6342">
              <w:t xml:space="preserve"> 92244, 2219</w:t>
            </w:r>
            <w:r w:rsidRPr="003E6342">
              <w:br/>
            </w:r>
            <w:r w:rsidRPr="003E6342">
              <w:rPr>
                <w:b/>
              </w:rPr>
              <w:t>DUNS Number:</w:t>
            </w:r>
            <w:r w:rsidRPr="003E6342">
              <w:t xml:space="preserve"> 363774282</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198455</w:t>
            </w:r>
            <w:r w:rsidRPr="003E6342">
              <w:br/>
            </w:r>
          </w:p>
        </w:tc>
      </w:tr>
      <w:tr w:rsidR="003E6342" w:rsidRPr="003E6342" w14:paraId="23C8DE34" w14:textId="77777777" w:rsidTr="009E5F8C">
        <w:trPr>
          <w:cantSplit/>
        </w:trPr>
        <w:tc>
          <w:tcPr>
            <w:tcW w:w="9590" w:type="dxa"/>
            <w:vAlign w:val="bottom"/>
          </w:tcPr>
          <w:p w14:paraId="41C0FD79" w14:textId="77777777" w:rsidR="00190CB2" w:rsidRPr="003E6342" w:rsidRDefault="00190CB2" w:rsidP="003E6342">
            <w:pPr>
              <w:widowControl w:val="0"/>
              <w:spacing w:after="0" w:line="240" w:lineRule="auto"/>
            </w:pPr>
            <w:r w:rsidRPr="003E6342">
              <w:rPr>
                <w:b/>
              </w:rPr>
              <w:t>Subrecipient or Contractor Name:</w:t>
            </w:r>
            <w:r w:rsidRPr="003E6342">
              <w:t xml:space="preserve"> Trinity Center Walnut creek</w:t>
            </w:r>
            <w:r w:rsidRPr="003E6342">
              <w:br/>
            </w:r>
            <w:r w:rsidRPr="003E6342">
              <w:rPr>
                <w:b/>
              </w:rPr>
              <w:t>City:</w:t>
            </w:r>
            <w:r w:rsidRPr="003E6342">
              <w:t xml:space="preserve"> Walnut Creek</w:t>
            </w:r>
            <w:r w:rsidRPr="003E6342">
              <w:br/>
            </w:r>
            <w:r w:rsidRPr="003E6342">
              <w:rPr>
                <w:b/>
              </w:rPr>
              <w:t>State:</w:t>
            </w:r>
            <w:r w:rsidRPr="003E6342">
              <w:t xml:space="preserve"> CA</w:t>
            </w:r>
            <w:r w:rsidRPr="003E6342">
              <w:br/>
            </w:r>
            <w:r w:rsidRPr="003E6342">
              <w:rPr>
                <w:b/>
              </w:rPr>
              <w:t>Zip Code:</w:t>
            </w:r>
            <w:r w:rsidRPr="003E6342">
              <w:t xml:space="preserve"> 94596, 4037</w:t>
            </w:r>
            <w:r w:rsidRPr="003E6342">
              <w:br/>
            </w:r>
            <w:r w:rsidRPr="003E6342">
              <w:rPr>
                <w:b/>
              </w:rPr>
              <w:t>DUNS Number:</w:t>
            </w:r>
            <w:r w:rsidRPr="003E6342">
              <w:t xml:space="preserve"> 079218515</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110000</w:t>
            </w:r>
            <w:r w:rsidRPr="003E6342">
              <w:br/>
            </w:r>
          </w:p>
        </w:tc>
      </w:tr>
      <w:tr w:rsidR="003E6342" w:rsidRPr="003E6342" w14:paraId="077A66AC" w14:textId="77777777" w:rsidTr="009E5F8C">
        <w:trPr>
          <w:cantSplit/>
        </w:trPr>
        <w:tc>
          <w:tcPr>
            <w:tcW w:w="9590" w:type="dxa"/>
            <w:vAlign w:val="bottom"/>
          </w:tcPr>
          <w:p w14:paraId="6C014329" w14:textId="77777777" w:rsidR="00190CB2" w:rsidRPr="003E6342" w:rsidRDefault="00190CB2" w:rsidP="003E6342">
            <w:pPr>
              <w:widowControl w:val="0"/>
              <w:spacing w:after="0" w:line="240" w:lineRule="auto"/>
            </w:pPr>
            <w:r w:rsidRPr="003E6342">
              <w:rPr>
                <w:b/>
              </w:rPr>
              <w:lastRenderedPageBreak/>
              <w:t>Subrecipient or Contractor Name:</w:t>
            </w:r>
            <w:r w:rsidRPr="003E6342">
              <w:t xml:space="preserve"> Chico Community Shelter Partnership</w:t>
            </w:r>
            <w:r w:rsidRPr="003E6342">
              <w:br/>
            </w:r>
            <w:r w:rsidRPr="003E6342">
              <w:rPr>
                <w:b/>
              </w:rPr>
              <w:t>City:</w:t>
            </w:r>
            <w:r w:rsidRPr="003E6342">
              <w:t xml:space="preserve"> Chico</w:t>
            </w:r>
            <w:r w:rsidRPr="003E6342">
              <w:br/>
            </w:r>
            <w:r w:rsidRPr="003E6342">
              <w:rPr>
                <w:b/>
              </w:rPr>
              <w:t>State:</w:t>
            </w:r>
            <w:r w:rsidRPr="003E6342">
              <w:t xml:space="preserve"> CA</w:t>
            </w:r>
            <w:r w:rsidRPr="003E6342">
              <w:br/>
            </w:r>
            <w:r w:rsidRPr="003E6342">
              <w:rPr>
                <w:b/>
              </w:rPr>
              <w:t>Zip Code:</w:t>
            </w:r>
            <w:r w:rsidRPr="003E6342">
              <w:t xml:space="preserve"> 95928, 4402</w:t>
            </w:r>
            <w:r w:rsidRPr="003E6342">
              <w:br/>
            </w:r>
            <w:r w:rsidRPr="003E6342">
              <w:rPr>
                <w:b/>
              </w:rPr>
              <w:t>DUNS Number:</w:t>
            </w:r>
            <w:r w:rsidRPr="003E6342">
              <w:t xml:space="preserve"> 104645630</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168385</w:t>
            </w:r>
            <w:r w:rsidRPr="003E6342">
              <w:br/>
            </w:r>
          </w:p>
        </w:tc>
      </w:tr>
      <w:tr w:rsidR="003E6342" w:rsidRPr="003E6342" w14:paraId="039E04A6" w14:textId="77777777" w:rsidTr="009E5F8C">
        <w:trPr>
          <w:cantSplit/>
        </w:trPr>
        <w:tc>
          <w:tcPr>
            <w:tcW w:w="9590" w:type="dxa"/>
            <w:vAlign w:val="bottom"/>
          </w:tcPr>
          <w:p w14:paraId="7DC181D0" w14:textId="77777777" w:rsidR="00190CB2" w:rsidRPr="003E6342" w:rsidRDefault="00190CB2" w:rsidP="003E6342">
            <w:pPr>
              <w:widowControl w:val="0"/>
              <w:spacing w:after="0" w:line="240" w:lineRule="auto"/>
            </w:pPr>
            <w:r w:rsidRPr="003E6342">
              <w:rPr>
                <w:b/>
              </w:rPr>
              <w:t>Subrecipient or Contractor Name:</w:t>
            </w:r>
            <w:r w:rsidRPr="003E6342">
              <w:t xml:space="preserve"> Stand Up Placer, Inc.</w:t>
            </w:r>
            <w:r w:rsidRPr="003E6342">
              <w:br/>
            </w:r>
            <w:r w:rsidRPr="003E6342">
              <w:rPr>
                <w:b/>
              </w:rPr>
              <w:t>City:</w:t>
            </w:r>
            <w:r w:rsidRPr="003E6342">
              <w:t xml:space="preserve"> Auburn</w:t>
            </w:r>
            <w:r w:rsidRPr="003E6342">
              <w:br/>
            </w:r>
            <w:r w:rsidRPr="003E6342">
              <w:rPr>
                <w:b/>
              </w:rPr>
              <w:t>State:</w:t>
            </w:r>
            <w:r w:rsidRPr="003E6342">
              <w:t xml:space="preserve"> CA</w:t>
            </w:r>
            <w:r w:rsidRPr="003E6342">
              <w:br/>
            </w:r>
            <w:r w:rsidRPr="003E6342">
              <w:rPr>
                <w:b/>
              </w:rPr>
              <w:t>Zip Code:</w:t>
            </w:r>
            <w:r w:rsidRPr="003E6342">
              <w:t xml:space="preserve"> 95604, 5462</w:t>
            </w:r>
            <w:r w:rsidRPr="003E6342">
              <w:br/>
            </w:r>
            <w:r w:rsidRPr="003E6342">
              <w:rPr>
                <w:b/>
              </w:rPr>
              <w:t>DUNS Number:</w:t>
            </w:r>
            <w:r w:rsidRPr="003E6342">
              <w:t xml:space="preserve"> 165959859</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200000</w:t>
            </w:r>
            <w:r w:rsidRPr="003E6342">
              <w:br/>
            </w:r>
          </w:p>
        </w:tc>
      </w:tr>
      <w:tr w:rsidR="003E6342" w:rsidRPr="003E6342" w14:paraId="067D62C8" w14:textId="77777777" w:rsidTr="009E5F8C">
        <w:trPr>
          <w:cantSplit/>
        </w:trPr>
        <w:tc>
          <w:tcPr>
            <w:tcW w:w="9590" w:type="dxa"/>
            <w:vAlign w:val="bottom"/>
          </w:tcPr>
          <w:p w14:paraId="6024FFFC" w14:textId="77777777" w:rsidR="00190CB2" w:rsidRPr="003E6342" w:rsidRDefault="00190CB2" w:rsidP="003E6342">
            <w:pPr>
              <w:widowControl w:val="0"/>
              <w:spacing w:after="0" w:line="240" w:lineRule="auto"/>
            </w:pPr>
            <w:r w:rsidRPr="003E6342">
              <w:rPr>
                <w:b/>
              </w:rPr>
              <w:t>Subrecipient or Contractor Name:</w:t>
            </w:r>
            <w:r w:rsidRPr="003E6342">
              <w:t xml:space="preserve"> The Salvation Army, a California corporation</w:t>
            </w:r>
            <w:r w:rsidRPr="003E6342">
              <w:br/>
            </w:r>
            <w:r w:rsidRPr="003E6342">
              <w:rPr>
                <w:b/>
              </w:rPr>
              <w:t>City:</w:t>
            </w:r>
            <w:r w:rsidRPr="003E6342">
              <w:t xml:space="preserve"> Marysville</w:t>
            </w:r>
            <w:r w:rsidRPr="003E6342">
              <w:br/>
            </w:r>
            <w:r w:rsidRPr="003E6342">
              <w:rPr>
                <w:b/>
              </w:rPr>
              <w:t>State:</w:t>
            </w:r>
            <w:r w:rsidRPr="003E6342">
              <w:t xml:space="preserve"> CA</w:t>
            </w:r>
            <w:r w:rsidRPr="003E6342">
              <w:br/>
            </w:r>
            <w:r w:rsidRPr="003E6342">
              <w:rPr>
                <w:b/>
              </w:rPr>
              <w:t>Zip Code:</w:t>
            </w:r>
            <w:r w:rsidRPr="003E6342">
              <w:t xml:space="preserve"> 95901, 0024</w:t>
            </w:r>
            <w:r w:rsidRPr="003E6342">
              <w:br/>
            </w:r>
            <w:r w:rsidRPr="003E6342">
              <w:rPr>
                <w:b/>
              </w:rPr>
              <w:t>DUNS Number:</w:t>
            </w:r>
            <w:r w:rsidRPr="003E6342">
              <w:t xml:space="preserve"> 074629460</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336730</w:t>
            </w:r>
            <w:r w:rsidRPr="003E6342">
              <w:br/>
            </w:r>
          </w:p>
        </w:tc>
      </w:tr>
      <w:tr w:rsidR="003E6342" w:rsidRPr="003E6342" w14:paraId="17D20D6C" w14:textId="77777777" w:rsidTr="009E5F8C">
        <w:trPr>
          <w:cantSplit/>
        </w:trPr>
        <w:tc>
          <w:tcPr>
            <w:tcW w:w="9590" w:type="dxa"/>
            <w:vAlign w:val="bottom"/>
          </w:tcPr>
          <w:p w14:paraId="13434C47" w14:textId="77777777" w:rsidR="00190CB2" w:rsidRPr="003E6342" w:rsidRDefault="00190CB2" w:rsidP="003E6342">
            <w:pPr>
              <w:widowControl w:val="0"/>
              <w:spacing w:after="0" w:line="240" w:lineRule="auto"/>
            </w:pPr>
            <w:r w:rsidRPr="003E6342">
              <w:rPr>
                <w:b/>
              </w:rPr>
              <w:lastRenderedPageBreak/>
              <w:t>Subrecipient or Contractor Name:</w:t>
            </w:r>
            <w:r w:rsidRPr="003E6342">
              <w:t xml:space="preserve"> Tri-Valley Haven for Women</w:t>
            </w:r>
            <w:r w:rsidRPr="003E6342">
              <w:br/>
            </w:r>
            <w:r w:rsidRPr="003E6342">
              <w:rPr>
                <w:b/>
              </w:rPr>
              <w:t>City:</w:t>
            </w:r>
            <w:r w:rsidRPr="003E6342">
              <w:t xml:space="preserve"> Livermore</w:t>
            </w:r>
            <w:r w:rsidRPr="003E6342">
              <w:br/>
            </w:r>
            <w:r w:rsidRPr="003E6342">
              <w:rPr>
                <w:b/>
              </w:rPr>
              <w:t>State:</w:t>
            </w:r>
            <w:r w:rsidRPr="003E6342">
              <w:t xml:space="preserve"> CA</w:t>
            </w:r>
            <w:r w:rsidRPr="003E6342">
              <w:br/>
            </w:r>
            <w:r w:rsidRPr="003E6342">
              <w:rPr>
                <w:b/>
              </w:rPr>
              <w:t>Zip Code:</w:t>
            </w:r>
            <w:r w:rsidRPr="003E6342">
              <w:t xml:space="preserve"> 94550, 7062</w:t>
            </w:r>
            <w:r w:rsidRPr="003E6342">
              <w:br/>
            </w:r>
            <w:r w:rsidRPr="003E6342">
              <w:rPr>
                <w:b/>
              </w:rPr>
              <w:t>DUNS Number:</w:t>
            </w:r>
            <w:r w:rsidRPr="003E6342">
              <w:t xml:space="preserve"> 834704538</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168000</w:t>
            </w:r>
            <w:r w:rsidRPr="003E6342">
              <w:br/>
            </w:r>
          </w:p>
        </w:tc>
      </w:tr>
      <w:tr w:rsidR="003E6342" w:rsidRPr="003E6342" w14:paraId="39BFDAE4" w14:textId="77777777" w:rsidTr="009E5F8C">
        <w:trPr>
          <w:cantSplit/>
        </w:trPr>
        <w:tc>
          <w:tcPr>
            <w:tcW w:w="9590" w:type="dxa"/>
            <w:vAlign w:val="bottom"/>
          </w:tcPr>
          <w:p w14:paraId="7059A29A" w14:textId="77777777" w:rsidR="00190CB2" w:rsidRPr="003E6342" w:rsidRDefault="00190CB2" w:rsidP="003E6342">
            <w:pPr>
              <w:widowControl w:val="0"/>
              <w:spacing w:after="0" w:line="240" w:lineRule="auto"/>
            </w:pPr>
            <w:r w:rsidRPr="003E6342">
              <w:rPr>
                <w:b/>
              </w:rPr>
              <w:t>Subrecipient or Contractor Name:</w:t>
            </w:r>
            <w:r w:rsidRPr="003E6342">
              <w:t xml:space="preserve"> Good Samaritan Shelter</w:t>
            </w:r>
            <w:r w:rsidRPr="003E6342">
              <w:br/>
            </w:r>
            <w:r w:rsidRPr="003E6342">
              <w:rPr>
                <w:b/>
              </w:rPr>
              <w:t>City:</w:t>
            </w:r>
            <w:r w:rsidRPr="003E6342">
              <w:t xml:space="preserve"> Santa Maria</w:t>
            </w:r>
            <w:r w:rsidRPr="003E6342">
              <w:br/>
            </w:r>
            <w:r w:rsidRPr="003E6342">
              <w:rPr>
                <w:b/>
              </w:rPr>
              <w:t>State:</w:t>
            </w:r>
            <w:r w:rsidRPr="003E6342">
              <w:t xml:space="preserve"> CA</w:t>
            </w:r>
            <w:r w:rsidRPr="003E6342">
              <w:br/>
            </w:r>
            <w:r w:rsidRPr="003E6342">
              <w:rPr>
                <w:b/>
              </w:rPr>
              <w:t>Zip Code:</w:t>
            </w:r>
            <w:r w:rsidRPr="003E6342">
              <w:t xml:space="preserve"> 93454, 8669</w:t>
            </w:r>
            <w:r w:rsidRPr="003E6342">
              <w:br/>
            </w:r>
            <w:r w:rsidRPr="003E6342">
              <w:rPr>
                <w:b/>
              </w:rPr>
              <w:t>DUNS Number:</w:t>
            </w:r>
            <w:r w:rsidRPr="003E6342">
              <w:t xml:space="preserve"> 023282457</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105584</w:t>
            </w:r>
            <w:r w:rsidRPr="003E6342">
              <w:br/>
            </w:r>
          </w:p>
        </w:tc>
      </w:tr>
      <w:tr w:rsidR="003E6342" w:rsidRPr="003E6342" w14:paraId="1808088E" w14:textId="77777777" w:rsidTr="009E5F8C">
        <w:trPr>
          <w:cantSplit/>
        </w:trPr>
        <w:tc>
          <w:tcPr>
            <w:tcW w:w="9590" w:type="dxa"/>
            <w:vAlign w:val="bottom"/>
          </w:tcPr>
          <w:p w14:paraId="103D3ADE" w14:textId="77777777" w:rsidR="00190CB2" w:rsidRPr="003E6342" w:rsidRDefault="00190CB2" w:rsidP="003E6342">
            <w:pPr>
              <w:widowControl w:val="0"/>
              <w:spacing w:after="0" w:line="240" w:lineRule="auto"/>
            </w:pPr>
            <w:r w:rsidRPr="003E6342">
              <w:rPr>
                <w:b/>
              </w:rPr>
              <w:t>Subrecipient or Contractor Name:</w:t>
            </w:r>
            <w:r w:rsidRPr="003E6342">
              <w:t xml:space="preserve"> Cornerstone Community Development Corp.</w:t>
            </w:r>
            <w:r w:rsidRPr="003E6342">
              <w:br/>
            </w:r>
            <w:r w:rsidRPr="003E6342">
              <w:rPr>
                <w:b/>
              </w:rPr>
              <w:t>City:</w:t>
            </w:r>
            <w:r w:rsidRPr="003E6342">
              <w:t xml:space="preserve"> San Leandro</w:t>
            </w:r>
            <w:r w:rsidRPr="003E6342">
              <w:br/>
            </w:r>
            <w:r w:rsidRPr="003E6342">
              <w:rPr>
                <w:b/>
              </w:rPr>
              <w:t>State:</w:t>
            </w:r>
            <w:r w:rsidRPr="003E6342">
              <w:t xml:space="preserve"> CA</w:t>
            </w:r>
            <w:r w:rsidRPr="003E6342">
              <w:br/>
            </w:r>
            <w:r w:rsidRPr="003E6342">
              <w:rPr>
                <w:b/>
              </w:rPr>
              <w:t>Zip Code:</w:t>
            </w:r>
            <w:r w:rsidRPr="003E6342">
              <w:t xml:space="preserve"> 94577, 5103</w:t>
            </w:r>
            <w:r w:rsidRPr="003E6342">
              <w:br/>
            </w:r>
            <w:r w:rsidRPr="003E6342">
              <w:rPr>
                <w:b/>
              </w:rPr>
              <w:t>DUNS Number:</w:t>
            </w:r>
            <w:r w:rsidRPr="003E6342">
              <w:t xml:space="preserve"> 788170355</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336770</w:t>
            </w:r>
            <w:r w:rsidRPr="003E6342">
              <w:br/>
            </w:r>
          </w:p>
        </w:tc>
      </w:tr>
      <w:tr w:rsidR="003E6342" w:rsidRPr="003E6342" w14:paraId="45B7704B" w14:textId="77777777" w:rsidTr="009E5F8C">
        <w:trPr>
          <w:cantSplit/>
        </w:trPr>
        <w:tc>
          <w:tcPr>
            <w:tcW w:w="9590" w:type="dxa"/>
            <w:vAlign w:val="bottom"/>
          </w:tcPr>
          <w:p w14:paraId="073CE204" w14:textId="77777777" w:rsidR="00190CB2" w:rsidRPr="003E6342" w:rsidRDefault="00190CB2" w:rsidP="003E6342">
            <w:pPr>
              <w:widowControl w:val="0"/>
              <w:spacing w:after="0" w:line="240" w:lineRule="auto"/>
            </w:pPr>
            <w:r w:rsidRPr="003E6342">
              <w:rPr>
                <w:b/>
              </w:rPr>
              <w:lastRenderedPageBreak/>
              <w:t>Subrecipient or Contractor Name:</w:t>
            </w:r>
            <w:r w:rsidRPr="003E6342">
              <w:t xml:space="preserve"> City of Hayward</w:t>
            </w:r>
            <w:r w:rsidRPr="003E6342">
              <w:br/>
            </w:r>
            <w:r w:rsidRPr="003E6342">
              <w:rPr>
                <w:b/>
              </w:rPr>
              <w:t>City:</w:t>
            </w:r>
            <w:r w:rsidRPr="003E6342">
              <w:t xml:space="preserve"> Hayward</w:t>
            </w:r>
            <w:r w:rsidRPr="003E6342">
              <w:br/>
            </w:r>
            <w:r w:rsidRPr="003E6342">
              <w:rPr>
                <w:b/>
              </w:rPr>
              <w:t>State:</w:t>
            </w:r>
            <w:r w:rsidRPr="003E6342">
              <w:t xml:space="preserve"> CA</w:t>
            </w:r>
            <w:r w:rsidRPr="003E6342">
              <w:br/>
            </w:r>
            <w:r w:rsidRPr="003E6342">
              <w:rPr>
                <w:b/>
              </w:rPr>
              <w:t>Zip Code:</w:t>
            </w:r>
            <w:r w:rsidRPr="003E6342">
              <w:t xml:space="preserve"> 94541, 5007</w:t>
            </w:r>
            <w:r w:rsidRPr="003E6342">
              <w:br/>
            </w:r>
            <w:r w:rsidRPr="003E6342">
              <w:rPr>
                <w:b/>
              </w:rPr>
              <w:t>DUNS Number:</w:t>
            </w:r>
            <w:r w:rsidRPr="003E6342">
              <w:t xml:space="preserve"> 040010175</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199955</w:t>
            </w:r>
            <w:r w:rsidRPr="003E6342">
              <w:br/>
            </w:r>
          </w:p>
        </w:tc>
      </w:tr>
      <w:tr w:rsidR="003E6342" w:rsidRPr="003E6342" w14:paraId="43C5C813" w14:textId="77777777" w:rsidTr="009E5F8C">
        <w:trPr>
          <w:cantSplit/>
        </w:trPr>
        <w:tc>
          <w:tcPr>
            <w:tcW w:w="9590" w:type="dxa"/>
            <w:vAlign w:val="bottom"/>
          </w:tcPr>
          <w:p w14:paraId="295BD9F8" w14:textId="77777777" w:rsidR="00190CB2" w:rsidRPr="003E6342" w:rsidRDefault="00190CB2" w:rsidP="003E6342">
            <w:pPr>
              <w:widowControl w:val="0"/>
              <w:spacing w:after="0" w:line="240" w:lineRule="auto"/>
            </w:pPr>
            <w:r w:rsidRPr="003E6342">
              <w:rPr>
                <w:b/>
              </w:rPr>
              <w:t>Subrecipient or Contractor Name:</w:t>
            </w:r>
            <w:r w:rsidRPr="003E6342">
              <w:t xml:space="preserve"> Tehama County Community Action Agency</w:t>
            </w:r>
            <w:r w:rsidRPr="003E6342">
              <w:br/>
            </w:r>
            <w:r w:rsidRPr="003E6342">
              <w:rPr>
                <w:b/>
              </w:rPr>
              <w:t>City:</w:t>
            </w:r>
            <w:r w:rsidRPr="003E6342">
              <w:t xml:space="preserve"> Red Bluff</w:t>
            </w:r>
            <w:r w:rsidRPr="003E6342">
              <w:br/>
            </w:r>
            <w:r w:rsidRPr="003E6342">
              <w:rPr>
                <w:b/>
              </w:rPr>
              <w:t>State:</w:t>
            </w:r>
            <w:r w:rsidRPr="003E6342">
              <w:t xml:space="preserve"> CA</w:t>
            </w:r>
            <w:r w:rsidRPr="003E6342">
              <w:br/>
            </w:r>
            <w:r w:rsidRPr="003E6342">
              <w:rPr>
                <w:b/>
              </w:rPr>
              <w:t>Zip Code:</w:t>
            </w:r>
            <w:r w:rsidRPr="003E6342">
              <w:t xml:space="preserve"> 96080, 4314</w:t>
            </w:r>
            <w:r w:rsidRPr="003E6342">
              <w:br/>
            </w:r>
            <w:r w:rsidRPr="003E6342">
              <w:rPr>
                <w:b/>
              </w:rPr>
              <w:t>DUNS Number:</w:t>
            </w:r>
            <w:r w:rsidRPr="003E6342">
              <w:t xml:space="preserve"> 803593529</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78935</w:t>
            </w:r>
            <w:r w:rsidRPr="003E6342">
              <w:br/>
            </w:r>
          </w:p>
        </w:tc>
      </w:tr>
      <w:tr w:rsidR="00190CB2" w:rsidRPr="003E6342" w14:paraId="36C24221" w14:textId="77777777" w:rsidTr="009E5F8C">
        <w:trPr>
          <w:cantSplit/>
        </w:trPr>
        <w:tc>
          <w:tcPr>
            <w:tcW w:w="9590" w:type="dxa"/>
            <w:vAlign w:val="bottom"/>
          </w:tcPr>
          <w:p w14:paraId="15995799" w14:textId="77777777" w:rsidR="00190CB2" w:rsidRPr="003E6342" w:rsidRDefault="00190CB2" w:rsidP="003E6342">
            <w:pPr>
              <w:widowControl w:val="0"/>
              <w:spacing w:after="0" w:line="240" w:lineRule="auto"/>
            </w:pPr>
            <w:r w:rsidRPr="003E6342">
              <w:rPr>
                <w:b/>
              </w:rPr>
              <w:t>Subrecipient or Contractor Name:</w:t>
            </w:r>
            <w:r w:rsidRPr="003E6342">
              <w:t xml:space="preserve"> Community Action Agency of Butte County, Inc.</w:t>
            </w:r>
            <w:r w:rsidRPr="003E6342">
              <w:br/>
            </w:r>
            <w:r w:rsidRPr="003E6342">
              <w:rPr>
                <w:b/>
              </w:rPr>
              <w:t>City:</w:t>
            </w:r>
            <w:r w:rsidRPr="003E6342">
              <w:t xml:space="preserve"> Chico</w:t>
            </w:r>
            <w:r w:rsidRPr="003E6342">
              <w:br/>
            </w:r>
            <w:r w:rsidRPr="003E6342">
              <w:rPr>
                <w:b/>
              </w:rPr>
              <w:t>State:</w:t>
            </w:r>
            <w:r w:rsidRPr="003E6342">
              <w:t xml:space="preserve"> CA</w:t>
            </w:r>
            <w:r w:rsidRPr="003E6342">
              <w:br/>
            </w:r>
            <w:r w:rsidRPr="003E6342">
              <w:rPr>
                <w:b/>
              </w:rPr>
              <w:t>Zip Code:</w:t>
            </w:r>
            <w:r w:rsidRPr="003E6342">
              <w:t xml:space="preserve"> 95973, 0523</w:t>
            </w:r>
            <w:r w:rsidRPr="003E6342">
              <w:br/>
            </w:r>
            <w:r w:rsidRPr="003E6342">
              <w:rPr>
                <w:b/>
              </w:rPr>
              <w:t>DUNS Number:</w:t>
            </w:r>
            <w:r w:rsidRPr="003E6342">
              <w:t xml:space="preserve"> 147541270</w:t>
            </w:r>
            <w:r w:rsidRPr="003E6342">
              <w:br/>
            </w:r>
            <w:r w:rsidRPr="003E6342">
              <w:rPr>
                <w:b/>
              </w:rPr>
              <w:t>Is subrecipient a victim services provider:</w:t>
            </w:r>
            <w:r w:rsidRPr="003E6342">
              <w:t xml:space="preserve"> N</w:t>
            </w:r>
            <w:r w:rsidRPr="003E6342">
              <w:br/>
            </w:r>
            <w:r w:rsidRPr="003E6342">
              <w:rPr>
                <w:b/>
              </w:rPr>
              <w:t>Subrecipient Organization Type:</w:t>
            </w:r>
            <w:r w:rsidRPr="003E6342">
              <w:t xml:space="preserve"> Other Non-Profit Organization</w:t>
            </w:r>
            <w:r w:rsidRPr="003E6342">
              <w:br/>
            </w:r>
            <w:r w:rsidRPr="003E6342">
              <w:rPr>
                <w:b/>
              </w:rPr>
              <w:t>ESG Subgrant or Contract Award Amount:</w:t>
            </w:r>
            <w:r w:rsidRPr="003E6342">
              <w:t xml:space="preserve"> 168385</w:t>
            </w:r>
            <w:r w:rsidRPr="003E6342">
              <w:br/>
            </w:r>
          </w:p>
        </w:tc>
      </w:tr>
    </w:tbl>
    <w:p w14:paraId="556FB2A5" w14:textId="77777777" w:rsidR="00E05EA6" w:rsidRPr="003E6342" w:rsidRDefault="00E05EA6" w:rsidP="00E05EA6">
      <w:pPr>
        <w:pStyle w:val="Default"/>
        <w:rPr>
          <w:rFonts w:ascii="Arial" w:hAnsi="Arial" w:cs="Arial"/>
          <w:color w:val="auto"/>
        </w:rPr>
      </w:pPr>
    </w:p>
    <w:p w14:paraId="392548CC" w14:textId="77777777" w:rsidR="00E05EA6" w:rsidRPr="003E6342" w:rsidRDefault="00E05EA6" w:rsidP="00E05EA6">
      <w:pPr>
        <w:pStyle w:val="Default"/>
        <w:rPr>
          <w:rFonts w:ascii="Arial" w:hAnsi="Arial" w:cs="Arial"/>
          <w:color w:val="auto"/>
        </w:rPr>
      </w:pPr>
    </w:p>
    <w:p w14:paraId="66668051" w14:textId="77777777" w:rsidR="00E05EA6" w:rsidRPr="002E4D24" w:rsidRDefault="00E05EA6" w:rsidP="00E05EA6">
      <w:pPr>
        <w:pStyle w:val="Default"/>
        <w:rPr>
          <w:rFonts w:ascii="Arial" w:hAnsi="Arial" w:cs="Arial"/>
          <w:color w:val="335375" w:themeColor="accent3" w:themeShade="BF"/>
        </w:rPr>
      </w:pPr>
    </w:p>
    <w:p w14:paraId="055584D6" w14:textId="77777777" w:rsidR="00E05EA6" w:rsidRPr="002E4D24" w:rsidRDefault="00E05EA6" w:rsidP="00E05EA6">
      <w:pPr>
        <w:pStyle w:val="Default"/>
        <w:rPr>
          <w:rFonts w:ascii="Arial" w:hAnsi="Arial" w:cs="Arial"/>
          <w:color w:val="335375" w:themeColor="accent3" w:themeShade="BF"/>
        </w:rPr>
      </w:pPr>
    </w:p>
    <w:p w14:paraId="3CD5BE50" w14:textId="77777777" w:rsidR="00E05EA6" w:rsidRPr="002E4D24" w:rsidRDefault="00E05EA6" w:rsidP="00E05EA6">
      <w:pPr>
        <w:pStyle w:val="Default"/>
        <w:rPr>
          <w:rFonts w:ascii="Arial" w:hAnsi="Arial" w:cs="Arial"/>
          <w:color w:val="335375" w:themeColor="accent3" w:themeShade="BF"/>
        </w:rPr>
      </w:pPr>
    </w:p>
    <w:p w14:paraId="6EF2E238" w14:textId="77777777" w:rsidR="00E05EA6" w:rsidRPr="002E4D24" w:rsidRDefault="00E05EA6" w:rsidP="00E05EA6">
      <w:pPr>
        <w:pStyle w:val="Default"/>
        <w:rPr>
          <w:rFonts w:ascii="Arial" w:hAnsi="Arial" w:cs="Arial"/>
          <w:color w:val="335375" w:themeColor="accent3" w:themeShade="BF"/>
        </w:rPr>
      </w:pPr>
    </w:p>
    <w:p w14:paraId="76DD7268" w14:textId="77777777" w:rsidR="00E05EA6" w:rsidRPr="00190CB2" w:rsidRDefault="00E05EA6" w:rsidP="00190CB2">
      <w:pPr>
        <w:rPr>
          <w:rFonts w:cs="Arial"/>
          <w:color w:val="000000"/>
          <w:szCs w:val="24"/>
        </w:rPr>
      </w:pPr>
    </w:p>
    <w:p w14:paraId="287AE78F" w14:textId="77777777" w:rsidR="00C0352B" w:rsidRDefault="00C0352B">
      <w:pPr>
        <w:rPr>
          <w:rFonts w:cs="Arial"/>
          <w:b/>
          <w:color w:val="335375" w:themeColor="accent3" w:themeShade="BF"/>
          <w:sz w:val="28"/>
          <w:szCs w:val="24"/>
          <w:u w:val="single"/>
        </w:rPr>
      </w:pPr>
      <w:r>
        <w:rPr>
          <w:rFonts w:cs="Arial"/>
          <w:b/>
          <w:color w:val="335375" w:themeColor="accent3" w:themeShade="BF"/>
          <w:sz w:val="28"/>
          <w:u w:val="single"/>
        </w:rPr>
        <w:lastRenderedPageBreak/>
        <w:br w:type="page"/>
      </w:r>
    </w:p>
    <w:p w14:paraId="0E122275" w14:textId="77777777" w:rsidR="00E05EA6" w:rsidRPr="002E4D24" w:rsidRDefault="00E05EA6" w:rsidP="00E05EA6">
      <w:pPr>
        <w:pStyle w:val="Default"/>
        <w:jc w:val="center"/>
        <w:rPr>
          <w:rFonts w:ascii="Arial" w:hAnsi="Arial" w:cs="Arial"/>
          <w:b/>
          <w:color w:val="335375" w:themeColor="accent3" w:themeShade="BF"/>
          <w:sz w:val="28"/>
          <w:u w:val="single"/>
        </w:rPr>
      </w:pPr>
      <w:r w:rsidRPr="002E4D24">
        <w:rPr>
          <w:rFonts w:ascii="Arial" w:hAnsi="Arial" w:cs="Arial"/>
          <w:b/>
          <w:color w:val="335375" w:themeColor="accent3" w:themeShade="BF"/>
          <w:sz w:val="28"/>
          <w:u w:val="single"/>
        </w:rPr>
        <w:lastRenderedPageBreak/>
        <w:t>CR-65 ESG Persons Assisted (ESG recipients only)</w:t>
      </w:r>
    </w:p>
    <w:p w14:paraId="68C09D3F" w14:textId="77777777" w:rsidR="00E05EA6" w:rsidRDefault="00E05EA6" w:rsidP="00E05EA6">
      <w:pPr>
        <w:pStyle w:val="Default"/>
        <w:rPr>
          <w:rFonts w:ascii="Arial" w:hAnsi="Arial" w:cs="Arial"/>
        </w:rPr>
      </w:pPr>
    </w:p>
    <w:p w14:paraId="405D6350" w14:textId="77777777" w:rsidR="00E05EA6" w:rsidRPr="00936F6D" w:rsidRDefault="00E05EA6" w:rsidP="00E05EA6">
      <w:pPr>
        <w:pStyle w:val="Default"/>
        <w:rPr>
          <w:rFonts w:ascii="Arial" w:hAnsi="Arial" w:cs="Arial"/>
          <w:i/>
          <w:color w:val="87A9CB" w:themeColor="accent3" w:themeTint="99"/>
          <w:sz w:val="22"/>
        </w:rPr>
      </w:pPr>
      <w:r w:rsidRPr="00936F6D">
        <w:rPr>
          <w:rFonts w:ascii="Arial" w:hAnsi="Arial" w:cs="Arial"/>
          <w:i/>
          <w:color w:val="87A9CB" w:themeColor="accent3" w:themeTint="99"/>
          <w:sz w:val="22"/>
        </w:rPr>
        <w:t>Regulation Citation(s): 24 CFR 91.520(g)</w:t>
      </w:r>
    </w:p>
    <w:p w14:paraId="59B7BD57" w14:textId="77777777" w:rsidR="00E05EA6" w:rsidRDefault="00E05EA6" w:rsidP="00E05EA6">
      <w:pPr>
        <w:pStyle w:val="Default"/>
        <w:rPr>
          <w:rFonts w:ascii="Arial" w:hAnsi="Arial" w:cs="Arial"/>
          <w:i/>
          <w:sz w:val="22"/>
        </w:rPr>
      </w:pPr>
    </w:p>
    <w:p w14:paraId="78E7A52B" w14:textId="77777777" w:rsidR="0056702A" w:rsidRPr="00BA1F82" w:rsidRDefault="0056702A" w:rsidP="00BA1F82">
      <w:pPr>
        <w:widowControl w:val="0"/>
        <w:spacing w:after="100" w:afterAutospacing="1"/>
        <w:rPr>
          <w:i/>
          <w:color w:val="FF0000"/>
        </w:rPr>
      </w:pPr>
      <w:r w:rsidRPr="00E05EA6">
        <w:rPr>
          <w:rFonts w:eastAsia="Calibri" w:cs="Arial"/>
          <w:b/>
          <w:szCs w:val="24"/>
        </w:rPr>
        <w:t xml:space="preserve">4a. Complete for Homelessness Prevention Activities </w:t>
      </w:r>
    </w:p>
    <w:tbl>
      <w:tblPr>
        <w:tblStyle w:val="GridTable4-Accent3"/>
        <w:tblpPr w:leftFromText="180" w:rightFromText="180" w:vertAnchor="text" w:horzAnchor="margin" w:tblpY="10"/>
        <w:tblW w:w="2816" w:type="pct"/>
        <w:tblLayout w:type="fixed"/>
        <w:tblLook w:val="01E0" w:firstRow="1" w:lastRow="1" w:firstColumn="1" w:lastColumn="1" w:noHBand="0" w:noVBand="0"/>
      </w:tblPr>
      <w:tblGrid>
        <w:gridCol w:w="4588"/>
        <w:gridCol w:w="3516"/>
      </w:tblGrid>
      <w:tr w:rsidR="00BA1F82" w:rsidRPr="00E05EA6" w14:paraId="72C16CBD" w14:textId="77777777" w:rsidTr="00BA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vAlign w:val="center"/>
          </w:tcPr>
          <w:p w14:paraId="69B85868" w14:textId="77777777" w:rsidR="00BA1F82" w:rsidRPr="00E05EA6" w:rsidRDefault="00BA1F82" w:rsidP="00BA1F82">
            <w:pPr>
              <w:keepNext/>
              <w:widowControl w:val="0"/>
              <w:jc w:val="center"/>
              <w:rPr>
                <w:rFonts w:eastAsia="Calibri" w:cs="Arial"/>
              </w:rPr>
            </w:pPr>
            <w:r w:rsidRPr="00E05EA6">
              <w:rPr>
                <w:rFonts w:eastAsia="Calibri" w:cs="Arial"/>
              </w:rPr>
              <w:t>Number of Persons in Households</w:t>
            </w:r>
          </w:p>
        </w:tc>
        <w:tc>
          <w:tcPr>
            <w:cnfStyle w:val="000100000000" w:firstRow="0" w:lastRow="0" w:firstColumn="0" w:lastColumn="1" w:oddVBand="0" w:evenVBand="0" w:oddHBand="0" w:evenHBand="0" w:firstRowFirstColumn="0" w:firstRowLastColumn="0" w:lastRowFirstColumn="0" w:lastRowLastColumn="0"/>
            <w:tcW w:w="3516" w:type="dxa"/>
            <w:vAlign w:val="center"/>
          </w:tcPr>
          <w:p w14:paraId="60247C4D" w14:textId="77777777" w:rsidR="00BA1F82" w:rsidRPr="00E05EA6" w:rsidRDefault="00BA1F82" w:rsidP="00BA1F82">
            <w:pPr>
              <w:keepNext/>
              <w:jc w:val="center"/>
              <w:rPr>
                <w:rFonts w:eastAsia="Calibri" w:cs="Arial"/>
              </w:rPr>
            </w:pPr>
            <w:r w:rsidRPr="00E05EA6">
              <w:rPr>
                <w:rFonts w:eastAsia="Calibri" w:cs="Arial"/>
              </w:rPr>
              <w:t>Total</w:t>
            </w:r>
          </w:p>
        </w:tc>
      </w:tr>
      <w:tr w:rsidR="00BA1F82" w:rsidRPr="00E05EA6" w14:paraId="1488F239" w14:textId="77777777" w:rsidTr="00B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0175758A" w14:textId="77777777" w:rsidR="00BA1F82" w:rsidRPr="00E05EA6" w:rsidRDefault="00BA1F82" w:rsidP="00BA1F82">
            <w:pPr>
              <w:spacing w:before="100" w:beforeAutospacing="1" w:after="100" w:afterAutospacing="1" w:line="276" w:lineRule="auto"/>
              <w:rPr>
                <w:rFonts w:eastAsia="Calibri" w:cs="Arial"/>
                <w:b w:val="0"/>
              </w:rPr>
            </w:pPr>
            <w:r w:rsidRPr="00E05EA6">
              <w:rPr>
                <w:rFonts w:eastAsia="Calibri" w:cs="Arial"/>
                <w:b w:val="0"/>
                <w:color w:val="000000"/>
              </w:rPr>
              <w:t>Adults</w:t>
            </w:r>
          </w:p>
        </w:tc>
        <w:tc>
          <w:tcPr>
            <w:cnfStyle w:val="000100000000" w:firstRow="0" w:lastRow="0" w:firstColumn="0" w:lastColumn="1" w:oddVBand="0" w:evenVBand="0" w:oddHBand="0" w:evenHBand="0" w:firstRowFirstColumn="0" w:firstRowLastColumn="0" w:lastRowFirstColumn="0" w:lastRowLastColumn="0"/>
            <w:tcW w:w="3516" w:type="dxa"/>
          </w:tcPr>
          <w:p w14:paraId="122AF1BF" w14:textId="77777777" w:rsidR="00BA1F82" w:rsidRPr="00C0352B" w:rsidRDefault="0043143B" w:rsidP="00BA1F82">
            <w:pPr>
              <w:spacing w:before="100" w:beforeAutospacing="1" w:after="100" w:afterAutospacing="1" w:line="276" w:lineRule="auto"/>
              <w:jc w:val="right"/>
              <w:rPr>
                <w:rFonts w:eastAsia="Calibri" w:cs="Arial"/>
                <w:b w:val="0"/>
              </w:rPr>
            </w:pPr>
            <w:r>
              <w:rPr>
                <w:rFonts w:eastAsia="Calibri" w:cs="Arial"/>
                <w:b w:val="0"/>
              </w:rPr>
              <w:t>71</w:t>
            </w:r>
          </w:p>
        </w:tc>
      </w:tr>
      <w:tr w:rsidR="00BA1F82" w:rsidRPr="00E05EA6" w14:paraId="522682C6" w14:textId="77777777" w:rsidTr="00BA1F82">
        <w:tc>
          <w:tcPr>
            <w:cnfStyle w:val="001000000000" w:firstRow="0" w:lastRow="0" w:firstColumn="1" w:lastColumn="0" w:oddVBand="0" w:evenVBand="0" w:oddHBand="0" w:evenHBand="0" w:firstRowFirstColumn="0" w:firstRowLastColumn="0" w:lastRowFirstColumn="0" w:lastRowLastColumn="0"/>
            <w:tcW w:w="4588" w:type="dxa"/>
          </w:tcPr>
          <w:p w14:paraId="64C13EC6" w14:textId="77777777" w:rsidR="00BA1F82" w:rsidRPr="00E05EA6" w:rsidRDefault="00BA1F82" w:rsidP="00BA1F82">
            <w:pPr>
              <w:spacing w:before="100" w:beforeAutospacing="1" w:after="100" w:afterAutospacing="1" w:line="276" w:lineRule="auto"/>
              <w:rPr>
                <w:rFonts w:eastAsia="Calibri" w:cs="Arial"/>
                <w:b w:val="0"/>
              </w:rPr>
            </w:pPr>
            <w:r w:rsidRPr="00E05EA6">
              <w:rPr>
                <w:rFonts w:eastAsia="Calibri" w:cs="Arial"/>
                <w:b w:val="0"/>
                <w:color w:val="000000"/>
              </w:rPr>
              <w:t>Children</w:t>
            </w:r>
          </w:p>
        </w:tc>
        <w:tc>
          <w:tcPr>
            <w:cnfStyle w:val="000100000000" w:firstRow="0" w:lastRow="0" w:firstColumn="0" w:lastColumn="1" w:oddVBand="0" w:evenVBand="0" w:oddHBand="0" w:evenHBand="0" w:firstRowFirstColumn="0" w:firstRowLastColumn="0" w:lastRowFirstColumn="0" w:lastRowLastColumn="0"/>
            <w:tcW w:w="3516" w:type="dxa"/>
          </w:tcPr>
          <w:p w14:paraId="64920DC1" w14:textId="77777777" w:rsidR="00BA1F82" w:rsidRPr="00C0352B" w:rsidRDefault="0043143B" w:rsidP="00BA1F82">
            <w:pPr>
              <w:spacing w:before="100" w:beforeAutospacing="1" w:after="100" w:afterAutospacing="1" w:line="276" w:lineRule="auto"/>
              <w:jc w:val="right"/>
              <w:rPr>
                <w:rFonts w:eastAsia="Calibri" w:cs="Arial"/>
                <w:b w:val="0"/>
              </w:rPr>
            </w:pPr>
            <w:r>
              <w:rPr>
                <w:rFonts w:eastAsia="Calibri" w:cs="Arial"/>
                <w:b w:val="0"/>
              </w:rPr>
              <w:t>72</w:t>
            </w:r>
          </w:p>
        </w:tc>
      </w:tr>
      <w:tr w:rsidR="00BA1F82" w:rsidRPr="00E05EA6" w14:paraId="3F6C50B5" w14:textId="77777777" w:rsidTr="00B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2A73C1B8" w14:textId="77777777" w:rsidR="00BA1F82" w:rsidRPr="00E05EA6" w:rsidRDefault="00BA1F82" w:rsidP="00BA1F82">
            <w:pPr>
              <w:spacing w:before="100" w:beforeAutospacing="1" w:after="100" w:afterAutospacing="1" w:line="276" w:lineRule="auto"/>
              <w:rPr>
                <w:rFonts w:eastAsia="Calibri" w:cs="Arial"/>
                <w:b w:val="0"/>
              </w:rPr>
            </w:pPr>
            <w:r w:rsidRPr="00E05EA6">
              <w:rPr>
                <w:rFonts w:eastAsia="Calibri" w:cs="Arial"/>
                <w:b w:val="0"/>
                <w:color w:val="000000"/>
              </w:rPr>
              <w:t>Don't Know/Refused/Other</w:t>
            </w:r>
          </w:p>
        </w:tc>
        <w:tc>
          <w:tcPr>
            <w:cnfStyle w:val="000100000000" w:firstRow="0" w:lastRow="0" w:firstColumn="0" w:lastColumn="1" w:oddVBand="0" w:evenVBand="0" w:oddHBand="0" w:evenHBand="0" w:firstRowFirstColumn="0" w:firstRowLastColumn="0" w:lastRowFirstColumn="0" w:lastRowLastColumn="0"/>
            <w:tcW w:w="3516" w:type="dxa"/>
            <w:vAlign w:val="center"/>
          </w:tcPr>
          <w:p w14:paraId="35DB76E0" w14:textId="77777777" w:rsidR="00BA1F82" w:rsidRPr="00C0352B" w:rsidRDefault="0043143B" w:rsidP="00BA1F82">
            <w:pPr>
              <w:spacing w:before="100" w:beforeAutospacing="1" w:after="100" w:afterAutospacing="1" w:line="276" w:lineRule="auto"/>
              <w:jc w:val="right"/>
              <w:rPr>
                <w:rFonts w:eastAsia="Calibri" w:cs="Arial"/>
                <w:b w:val="0"/>
              </w:rPr>
            </w:pPr>
            <w:r>
              <w:rPr>
                <w:rFonts w:eastAsia="Calibri" w:cs="Arial"/>
                <w:b w:val="0"/>
              </w:rPr>
              <w:t>0</w:t>
            </w:r>
          </w:p>
        </w:tc>
      </w:tr>
      <w:tr w:rsidR="00BA1F82" w:rsidRPr="00E05EA6" w14:paraId="62A1F5F3" w14:textId="77777777" w:rsidTr="00BA1F82">
        <w:tc>
          <w:tcPr>
            <w:cnfStyle w:val="001000000000" w:firstRow="0" w:lastRow="0" w:firstColumn="1" w:lastColumn="0" w:oddVBand="0" w:evenVBand="0" w:oddHBand="0" w:evenHBand="0" w:firstRowFirstColumn="0" w:firstRowLastColumn="0" w:lastRowFirstColumn="0" w:lastRowLastColumn="0"/>
            <w:tcW w:w="4588" w:type="dxa"/>
          </w:tcPr>
          <w:p w14:paraId="396107B8" w14:textId="77777777" w:rsidR="00BA1F82" w:rsidRPr="00E05EA6" w:rsidRDefault="00BA1F82" w:rsidP="00BA1F82">
            <w:pPr>
              <w:spacing w:before="100" w:beforeAutospacing="1" w:after="100" w:afterAutospacing="1" w:line="276" w:lineRule="auto"/>
              <w:rPr>
                <w:rFonts w:eastAsia="Calibri" w:cs="Arial"/>
                <w:b w:val="0"/>
              </w:rPr>
            </w:pPr>
            <w:r w:rsidRPr="00E05EA6">
              <w:rPr>
                <w:rFonts w:eastAsia="Calibri" w:cs="Arial"/>
                <w:b w:val="0"/>
                <w:color w:val="000000"/>
              </w:rPr>
              <w:t>Missing Information</w:t>
            </w:r>
          </w:p>
        </w:tc>
        <w:tc>
          <w:tcPr>
            <w:cnfStyle w:val="000100000000" w:firstRow="0" w:lastRow="0" w:firstColumn="0" w:lastColumn="1" w:oddVBand="0" w:evenVBand="0" w:oddHBand="0" w:evenHBand="0" w:firstRowFirstColumn="0" w:firstRowLastColumn="0" w:lastRowFirstColumn="0" w:lastRowLastColumn="0"/>
            <w:tcW w:w="3516" w:type="dxa"/>
          </w:tcPr>
          <w:p w14:paraId="5A72011F" w14:textId="77777777" w:rsidR="00BA1F82" w:rsidRPr="00C0352B" w:rsidRDefault="0043143B" w:rsidP="00BA1F82">
            <w:pPr>
              <w:spacing w:before="100" w:beforeAutospacing="1" w:after="100" w:afterAutospacing="1" w:line="276" w:lineRule="auto"/>
              <w:jc w:val="right"/>
              <w:rPr>
                <w:rFonts w:eastAsia="Calibri" w:cs="Arial"/>
                <w:b w:val="0"/>
              </w:rPr>
            </w:pPr>
            <w:r>
              <w:rPr>
                <w:rFonts w:eastAsia="Calibri" w:cs="Arial"/>
                <w:b w:val="0"/>
              </w:rPr>
              <w:t>0</w:t>
            </w:r>
          </w:p>
        </w:tc>
      </w:tr>
      <w:tr w:rsidR="00BA1F82" w:rsidRPr="00E05EA6" w14:paraId="4A90EE36" w14:textId="77777777" w:rsidTr="00BA1F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7A65567F" w14:textId="77777777" w:rsidR="00BA1F82" w:rsidRPr="00E05EA6" w:rsidRDefault="00BA1F82" w:rsidP="00BA1F82">
            <w:pPr>
              <w:spacing w:beforeAutospacing="1" w:after="200" w:afterAutospacing="1" w:line="276" w:lineRule="auto"/>
              <w:rPr>
                <w:rFonts w:eastAsia="Calibri" w:cs="Arial"/>
              </w:rPr>
            </w:pPr>
            <w:r w:rsidRPr="00E05EA6">
              <w:rPr>
                <w:rFonts w:eastAsia="Calibri" w:cs="Arial"/>
                <w:color w:val="000000"/>
              </w:rPr>
              <w:t>Total</w:t>
            </w:r>
          </w:p>
        </w:tc>
        <w:tc>
          <w:tcPr>
            <w:cnfStyle w:val="000100000000" w:firstRow="0" w:lastRow="0" w:firstColumn="0" w:lastColumn="1" w:oddVBand="0" w:evenVBand="0" w:oddHBand="0" w:evenHBand="0" w:firstRowFirstColumn="0" w:firstRowLastColumn="0" w:lastRowFirstColumn="0" w:lastRowLastColumn="0"/>
            <w:tcW w:w="3516" w:type="dxa"/>
          </w:tcPr>
          <w:p w14:paraId="1CB44392" w14:textId="77777777" w:rsidR="00BA1F82" w:rsidRPr="00C0352B" w:rsidRDefault="0043143B" w:rsidP="00BA1F82">
            <w:pPr>
              <w:spacing w:beforeAutospacing="1" w:after="200" w:afterAutospacing="1" w:line="276" w:lineRule="auto"/>
              <w:jc w:val="right"/>
              <w:rPr>
                <w:rFonts w:eastAsia="Calibri" w:cs="Arial"/>
              </w:rPr>
            </w:pPr>
            <w:r>
              <w:rPr>
                <w:rFonts w:eastAsia="Calibri" w:cs="Arial"/>
              </w:rPr>
              <w:t>143</w:t>
            </w:r>
          </w:p>
        </w:tc>
      </w:tr>
    </w:tbl>
    <w:p w14:paraId="350F73F8" w14:textId="77777777" w:rsidR="00D36E84" w:rsidRDefault="00D36E84" w:rsidP="00E05EA6">
      <w:pPr>
        <w:pStyle w:val="Default"/>
        <w:rPr>
          <w:rFonts w:ascii="Arial" w:hAnsi="Arial" w:cs="Arial"/>
        </w:rPr>
      </w:pPr>
    </w:p>
    <w:p w14:paraId="2CE0CF94" w14:textId="77777777" w:rsidR="00E05EA6" w:rsidRDefault="00E05EA6" w:rsidP="00E05EA6">
      <w:pPr>
        <w:spacing w:after="0" w:line="240" w:lineRule="auto"/>
        <w:ind w:left="1440"/>
        <w:rPr>
          <w:rFonts w:ascii="Calibri" w:eastAsia="Calibri" w:hAnsi="Calibri" w:cs="Times New Roman"/>
          <w:b/>
          <w:bCs/>
          <w:sz w:val="20"/>
          <w:szCs w:val="20"/>
        </w:rPr>
      </w:pPr>
    </w:p>
    <w:p w14:paraId="47883C7A" w14:textId="77777777" w:rsidR="00E05EA6" w:rsidRDefault="00E05EA6" w:rsidP="00E05EA6">
      <w:pPr>
        <w:spacing w:after="0" w:line="240" w:lineRule="auto"/>
        <w:ind w:left="1440"/>
        <w:rPr>
          <w:rFonts w:ascii="Calibri" w:eastAsia="Calibri" w:hAnsi="Calibri" w:cs="Times New Roman"/>
          <w:b/>
          <w:bCs/>
          <w:sz w:val="20"/>
          <w:szCs w:val="20"/>
        </w:rPr>
      </w:pPr>
    </w:p>
    <w:p w14:paraId="5084FABF" w14:textId="77777777" w:rsidR="00E05EA6" w:rsidRDefault="00E05EA6" w:rsidP="00E05EA6">
      <w:pPr>
        <w:spacing w:after="0" w:line="240" w:lineRule="auto"/>
        <w:ind w:left="1440"/>
        <w:rPr>
          <w:rFonts w:ascii="Calibri" w:eastAsia="Calibri" w:hAnsi="Calibri" w:cs="Times New Roman"/>
          <w:b/>
          <w:bCs/>
          <w:sz w:val="20"/>
          <w:szCs w:val="20"/>
        </w:rPr>
      </w:pPr>
    </w:p>
    <w:p w14:paraId="189456D8" w14:textId="77777777" w:rsidR="00E05EA6" w:rsidRDefault="00E05EA6" w:rsidP="00E05EA6">
      <w:pPr>
        <w:spacing w:after="0" w:line="240" w:lineRule="auto"/>
        <w:ind w:left="1440"/>
        <w:rPr>
          <w:rFonts w:ascii="Calibri" w:eastAsia="Calibri" w:hAnsi="Calibri" w:cs="Times New Roman"/>
          <w:b/>
          <w:bCs/>
          <w:sz w:val="20"/>
          <w:szCs w:val="20"/>
        </w:rPr>
      </w:pPr>
    </w:p>
    <w:p w14:paraId="0DD44DB3" w14:textId="77777777" w:rsidR="00E05EA6" w:rsidRDefault="00E05EA6" w:rsidP="00E05EA6">
      <w:pPr>
        <w:spacing w:after="0" w:line="240" w:lineRule="auto"/>
        <w:ind w:left="1440"/>
        <w:rPr>
          <w:rFonts w:ascii="Calibri" w:eastAsia="Calibri" w:hAnsi="Calibri" w:cs="Times New Roman"/>
          <w:b/>
          <w:bCs/>
          <w:sz w:val="20"/>
          <w:szCs w:val="20"/>
        </w:rPr>
      </w:pPr>
    </w:p>
    <w:p w14:paraId="24B58C78" w14:textId="77777777" w:rsidR="00E05EA6" w:rsidRDefault="00E05EA6" w:rsidP="00E05EA6">
      <w:pPr>
        <w:spacing w:after="0" w:line="240" w:lineRule="auto"/>
        <w:ind w:left="1440"/>
        <w:rPr>
          <w:rFonts w:ascii="Calibri" w:eastAsia="Calibri" w:hAnsi="Calibri" w:cs="Times New Roman"/>
          <w:b/>
          <w:bCs/>
          <w:sz w:val="20"/>
          <w:szCs w:val="20"/>
        </w:rPr>
      </w:pPr>
    </w:p>
    <w:p w14:paraId="63DA9329" w14:textId="77777777" w:rsidR="00E05EA6" w:rsidRDefault="00E05EA6" w:rsidP="00E05EA6">
      <w:pPr>
        <w:spacing w:after="0" w:line="240" w:lineRule="auto"/>
        <w:ind w:left="1440"/>
        <w:rPr>
          <w:rFonts w:ascii="Calibri" w:eastAsia="Calibri" w:hAnsi="Calibri" w:cs="Times New Roman"/>
          <w:b/>
          <w:bCs/>
          <w:sz w:val="20"/>
          <w:szCs w:val="20"/>
        </w:rPr>
      </w:pPr>
    </w:p>
    <w:p w14:paraId="534C753E" w14:textId="77777777" w:rsidR="00E05EA6" w:rsidRDefault="00E05EA6" w:rsidP="00BA1F82">
      <w:pPr>
        <w:spacing w:after="0" w:line="240" w:lineRule="auto"/>
        <w:ind w:left="720" w:firstLine="720"/>
        <w:rPr>
          <w:rFonts w:eastAsia="Calibri" w:cs="Arial"/>
          <w:b/>
          <w:bCs/>
          <w:sz w:val="16"/>
          <w:szCs w:val="20"/>
        </w:rPr>
      </w:pPr>
      <w:r w:rsidRPr="00E05EA6">
        <w:rPr>
          <w:rFonts w:eastAsia="Calibri" w:cs="Arial"/>
          <w:b/>
          <w:bCs/>
          <w:sz w:val="16"/>
          <w:szCs w:val="20"/>
        </w:rPr>
        <w:t>Table</w:t>
      </w:r>
      <w:r w:rsidRPr="00E05EA6">
        <w:rPr>
          <w:rFonts w:ascii="Calibri" w:eastAsia="Calibri" w:hAnsi="Calibri" w:cs="Times New Roman"/>
          <w:b/>
          <w:bCs/>
          <w:sz w:val="16"/>
          <w:szCs w:val="20"/>
        </w:rPr>
        <w:t xml:space="preserve"> </w:t>
      </w:r>
      <w:r w:rsidRPr="00E05EA6">
        <w:rPr>
          <w:rFonts w:eastAsia="Calibri" w:cs="Arial"/>
          <w:b/>
          <w:bCs/>
          <w:sz w:val="16"/>
          <w:szCs w:val="20"/>
        </w:rPr>
        <w:fldChar w:fldCharType="begin"/>
      </w:r>
      <w:r w:rsidRPr="00E05EA6">
        <w:rPr>
          <w:rFonts w:eastAsia="Calibri" w:cs="Arial"/>
          <w:b/>
          <w:bCs/>
          <w:sz w:val="16"/>
          <w:szCs w:val="20"/>
        </w:rPr>
        <w:instrText xml:space="preserve"> SEQ Table \* ARABIC </w:instrText>
      </w:r>
      <w:r w:rsidRPr="00E05EA6">
        <w:rPr>
          <w:rFonts w:eastAsia="Calibri" w:cs="Arial"/>
          <w:b/>
          <w:bCs/>
          <w:sz w:val="16"/>
          <w:szCs w:val="20"/>
        </w:rPr>
        <w:fldChar w:fldCharType="separate"/>
      </w:r>
      <w:r w:rsidR="00AA534C">
        <w:rPr>
          <w:rFonts w:eastAsia="Calibri" w:cs="Arial"/>
          <w:b/>
          <w:bCs/>
          <w:noProof/>
          <w:sz w:val="16"/>
          <w:szCs w:val="20"/>
        </w:rPr>
        <w:t>11</w:t>
      </w:r>
      <w:r w:rsidRPr="00E05EA6">
        <w:rPr>
          <w:rFonts w:eastAsia="Calibri" w:cs="Arial"/>
          <w:b/>
          <w:bCs/>
          <w:sz w:val="16"/>
          <w:szCs w:val="20"/>
        </w:rPr>
        <w:fldChar w:fldCharType="end"/>
      </w:r>
      <w:r w:rsidRPr="00E05EA6">
        <w:rPr>
          <w:rFonts w:eastAsia="Calibri" w:cs="Arial"/>
          <w:b/>
          <w:bCs/>
          <w:sz w:val="16"/>
          <w:szCs w:val="20"/>
        </w:rPr>
        <w:t xml:space="preserve"> – Household Information for Homeless Prevention Activities</w:t>
      </w:r>
    </w:p>
    <w:p w14:paraId="373AB433" w14:textId="77777777" w:rsidR="00E05EA6" w:rsidRDefault="00E05EA6" w:rsidP="00E05EA6">
      <w:pPr>
        <w:spacing w:after="0" w:line="240" w:lineRule="auto"/>
        <w:ind w:left="2880" w:firstLine="720"/>
        <w:rPr>
          <w:rFonts w:eastAsia="Calibri" w:cs="Arial"/>
          <w:b/>
          <w:bCs/>
          <w:sz w:val="16"/>
          <w:szCs w:val="20"/>
        </w:rPr>
      </w:pPr>
    </w:p>
    <w:tbl>
      <w:tblPr>
        <w:tblStyle w:val="GridTable4-Accent3"/>
        <w:tblpPr w:leftFromText="180" w:rightFromText="180" w:vertAnchor="text" w:horzAnchor="margin" w:tblpY="490"/>
        <w:tblW w:w="2816" w:type="pct"/>
        <w:tblLayout w:type="fixed"/>
        <w:tblLook w:val="01E0" w:firstRow="1" w:lastRow="1" w:firstColumn="1" w:lastColumn="1" w:noHBand="0" w:noVBand="0"/>
      </w:tblPr>
      <w:tblGrid>
        <w:gridCol w:w="4588"/>
        <w:gridCol w:w="3516"/>
      </w:tblGrid>
      <w:tr w:rsidR="00BA1F82" w14:paraId="70302690" w14:textId="77777777" w:rsidTr="00444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621FD8D9" w14:textId="77777777" w:rsidR="00BA1F82" w:rsidRPr="005856D5" w:rsidRDefault="00BA1F82" w:rsidP="00444036">
            <w:pPr>
              <w:keepNext/>
              <w:widowControl w:val="0"/>
              <w:jc w:val="center"/>
              <w:rPr>
                <w:rFonts w:cs="Arial"/>
                <w:szCs w:val="24"/>
              </w:rPr>
            </w:pPr>
            <w:r w:rsidRPr="005856D5">
              <w:rPr>
                <w:rFonts w:cs="Arial"/>
                <w:bCs w:val="0"/>
                <w:szCs w:val="24"/>
              </w:rPr>
              <w:t>Number of Persons in Households</w:t>
            </w:r>
          </w:p>
        </w:tc>
        <w:tc>
          <w:tcPr>
            <w:cnfStyle w:val="000100000000" w:firstRow="0" w:lastRow="0" w:firstColumn="0" w:lastColumn="1" w:oddVBand="0" w:evenVBand="0" w:oddHBand="0" w:evenHBand="0" w:firstRowFirstColumn="0" w:firstRowLastColumn="0" w:lastRowFirstColumn="0" w:lastRowLastColumn="0"/>
            <w:tcW w:w="3516" w:type="dxa"/>
          </w:tcPr>
          <w:p w14:paraId="7ACEF23E" w14:textId="77777777" w:rsidR="00BA1F82" w:rsidRPr="005856D5" w:rsidRDefault="00BA1F82" w:rsidP="00444036">
            <w:pPr>
              <w:pStyle w:val="NoSpacing"/>
              <w:keepNext/>
              <w:jc w:val="center"/>
              <w:rPr>
                <w:rFonts w:ascii="Arial" w:hAnsi="Arial" w:cs="Arial"/>
                <w:sz w:val="24"/>
                <w:szCs w:val="24"/>
              </w:rPr>
            </w:pPr>
            <w:r w:rsidRPr="005856D5">
              <w:rPr>
                <w:rFonts w:ascii="Arial" w:hAnsi="Arial" w:cs="Arial"/>
                <w:sz w:val="24"/>
                <w:szCs w:val="24"/>
              </w:rPr>
              <w:t>Total</w:t>
            </w:r>
          </w:p>
        </w:tc>
      </w:tr>
      <w:tr w:rsidR="00BA1F82" w14:paraId="4AD61090" w14:textId="77777777" w:rsidTr="0044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02444DD7" w14:textId="77777777" w:rsidR="00BA1F82" w:rsidRPr="005856D5" w:rsidRDefault="00BA1F82" w:rsidP="00444036">
            <w:pPr>
              <w:spacing w:beforeAutospacing="1" w:afterAutospacing="1"/>
              <w:rPr>
                <w:b w:val="0"/>
              </w:rPr>
            </w:pPr>
            <w:r w:rsidRPr="005856D5">
              <w:rPr>
                <w:b w:val="0"/>
                <w:color w:val="000000"/>
              </w:rPr>
              <w:t>Adults</w:t>
            </w:r>
          </w:p>
        </w:tc>
        <w:tc>
          <w:tcPr>
            <w:cnfStyle w:val="000100000000" w:firstRow="0" w:lastRow="0" w:firstColumn="0" w:lastColumn="1" w:oddVBand="0" w:evenVBand="0" w:oddHBand="0" w:evenHBand="0" w:firstRowFirstColumn="0" w:firstRowLastColumn="0" w:lastRowFirstColumn="0" w:lastRowLastColumn="0"/>
            <w:tcW w:w="3516" w:type="dxa"/>
          </w:tcPr>
          <w:p w14:paraId="116AD766" w14:textId="77777777" w:rsidR="00BA1F82" w:rsidRPr="00C0352B" w:rsidRDefault="0043143B" w:rsidP="00444036">
            <w:pPr>
              <w:spacing w:before="100" w:beforeAutospacing="1" w:after="100" w:afterAutospacing="1"/>
              <w:jc w:val="right"/>
              <w:rPr>
                <w:b w:val="0"/>
              </w:rPr>
            </w:pPr>
            <w:r>
              <w:rPr>
                <w:b w:val="0"/>
              </w:rPr>
              <w:t>2,707</w:t>
            </w:r>
          </w:p>
        </w:tc>
      </w:tr>
      <w:tr w:rsidR="00BA1F82" w14:paraId="5F8DCAD5" w14:textId="77777777" w:rsidTr="00444036">
        <w:tc>
          <w:tcPr>
            <w:cnfStyle w:val="001000000000" w:firstRow="0" w:lastRow="0" w:firstColumn="1" w:lastColumn="0" w:oddVBand="0" w:evenVBand="0" w:oddHBand="0" w:evenHBand="0" w:firstRowFirstColumn="0" w:firstRowLastColumn="0" w:lastRowFirstColumn="0" w:lastRowLastColumn="0"/>
            <w:tcW w:w="4588" w:type="dxa"/>
          </w:tcPr>
          <w:p w14:paraId="1146511D" w14:textId="77777777" w:rsidR="00BA1F82" w:rsidRPr="005856D5" w:rsidRDefault="00BA1F82" w:rsidP="00444036">
            <w:pPr>
              <w:spacing w:before="100" w:beforeAutospacing="1" w:after="100" w:afterAutospacing="1"/>
              <w:rPr>
                <w:b w:val="0"/>
              </w:rPr>
            </w:pPr>
            <w:r w:rsidRPr="005856D5">
              <w:rPr>
                <w:b w:val="0"/>
                <w:color w:val="000000"/>
              </w:rPr>
              <w:t>Children</w:t>
            </w:r>
          </w:p>
        </w:tc>
        <w:tc>
          <w:tcPr>
            <w:cnfStyle w:val="000100000000" w:firstRow="0" w:lastRow="0" w:firstColumn="0" w:lastColumn="1" w:oddVBand="0" w:evenVBand="0" w:oddHBand="0" w:evenHBand="0" w:firstRowFirstColumn="0" w:firstRowLastColumn="0" w:lastRowFirstColumn="0" w:lastRowLastColumn="0"/>
            <w:tcW w:w="3516" w:type="dxa"/>
          </w:tcPr>
          <w:p w14:paraId="51A26F1F" w14:textId="77777777" w:rsidR="00BA1F82" w:rsidRPr="00C0352B" w:rsidRDefault="0043143B" w:rsidP="00444036">
            <w:pPr>
              <w:spacing w:before="100" w:beforeAutospacing="1" w:after="100" w:afterAutospacing="1"/>
              <w:jc w:val="right"/>
              <w:rPr>
                <w:b w:val="0"/>
              </w:rPr>
            </w:pPr>
            <w:r>
              <w:rPr>
                <w:b w:val="0"/>
              </w:rPr>
              <w:t>1,045</w:t>
            </w:r>
          </w:p>
        </w:tc>
      </w:tr>
      <w:tr w:rsidR="00BA1F82" w14:paraId="239A4271" w14:textId="77777777" w:rsidTr="0044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5DAB2DA9" w14:textId="77777777" w:rsidR="00BA1F82" w:rsidRPr="005856D5" w:rsidRDefault="00BA1F82" w:rsidP="00444036">
            <w:pPr>
              <w:spacing w:beforeAutospacing="1" w:afterAutospacing="1"/>
              <w:rPr>
                <w:b w:val="0"/>
              </w:rPr>
            </w:pPr>
            <w:r w:rsidRPr="005856D5">
              <w:rPr>
                <w:b w:val="0"/>
                <w:color w:val="000000"/>
              </w:rPr>
              <w:t>Don't Know/Refused/Other</w:t>
            </w:r>
          </w:p>
        </w:tc>
        <w:tc>
          <w:tcPr>
            <w:cnfStyle w:val="000100000000" w:firstRow="0" w:lastRow="0" w:firstColumn="0" w:lastColumn="1" w:oddVBand="0" w:evenVBand="0" w:oddHBand="0" w:evenHBand="0" w:firstRowFirstColumn="0" w:firstRowLastColumn="0" w:lastRowFirstColumn="0" w:lastRowLastColumn="0"/>
            <w:tcW w:w="3516" w:type="dxa"/>
          </w:tcPr>
          <w:p w14:paraId="0B0395E6" w14:textId="77777777" w:rsidR="00BA1F82" w:rsidRPr="00C0352B" w:rsidRDefault="0043143B" w:rsidP="00444036">
            <w:pPr>
              <w:spacing w:before="100" w:beforeAutospacing="1" w:after="100" w:afterAutospacing="1"/>
              <w:jc w:val="right"/>
              <w:rPr>
                <w:b w:val="0"/>
              </w:rPr>
            </w:pPr>
            <w:r>
              <w:rPr>
                <w:b w:val="0"/>
              </w:rPr>
              <w:t>4</w:t>
            </w:r>
          </w:p>
        </w:tc>
      </w:tr>
      <w:tr w:rsidR="00BA1F82" w14:paraId="7806DDE0" w14:textId="77777777" w:rsidTr="00444036">
        <w:tc>
          <w:tcPr>
            <w:cnfStyle w:val="001000000000" w:firstRow="0" w:lastRow="0" w:firstColumn="1" w:lastColumn="0" w:oddVBand="0" w:evenVBand="0" w:oddHBand="0" w:evenHBand="0" w:firstRowFirstColumn="0" w:firstRowLastColumn="0" w:lastRowFirstColumn="0" w:lastRowLastColumn="0"/>
            <w:tcW w:w="4588" w:type="dxa"/>
          </w:tcPr>
          <w:p w14:paraId="6FF3B121" w14:textId="77777777" w:rsidR="00BA1F82" w:rsidRPr="005856D5" w:rsidRDefault="00BA1F82" w:rsidP="00444036">
            <w:pPr>
              <w:spacing w:before="100" w:beforeAutospacing="1" w:after="100" w:afterAutospacing="1"/>
              <w:rPr>
                <w:b w:val="0"/>
              </w:rPr>
            </w:pPr>
            <w:r w:rsidRPr="005856D5">
              <w:rPr>
                <w:b w:val="0"/>
                <w:color w:val="000000"/>
              </w:rPr>
              <w:t>Missing Information</w:t>
            </w:r>
          </w:p>
        </w:tc>
        <w:tc>
          <w:tcPr>
            <w:cnfStyle w:val="000100000000" w:firstRow="0" w:lastRow="0" w:firstColumn="0" w:lastColumn="1" w:oddVBand="0" w:evenVBand="0" w:oddHBand="0" w:evenHBand="0" w:firstRowFirstColumn="0" w:firstRowLastColumn="0" w:lastRowFirstColumn="0" w:lastRowLastColumn="0"/>
            <w:tcW w:w="3516" w:type="dxa"/>
          </w:tcPr>
          <w:p w14:paraId="72DF3526" w14:textId="77777777" w:rsidR="00BA1F82" w:rsidRPr="00C0352B" w:rsidRDefault="0043143B" w:rsidP="00444036">
            <w:pPr>
              <w:spacing w:before="100" w:beforeAutospacing="1" w:after="100" w:afterAutospacing="1"/>
              <w:jc w:val="right"/>
              <w:rPr>
                <w:b w:val="0"/>
              </w:rPr>
            </w:pPr>
            <w:r>
              <w:rPr>
                <w:b w:val="0"/>
              </w:rPr>
              <w:t>63</w:t>
            </w:r>
          </w:p>
        </w:tc>
      </w:tr>
      <w:tr w:rsidR="00BA1F82" w14:paraId="4B087B38" w14:textId="77777777" w:rsidTr="004440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3A7AC9F2" w14:textId="77777777" w:rsidR="00BA1F82" w:rsidRPr="005856D5" w:rsidRDefault="00BA1F82" w:rsidP="00444036">
            <w:pPr>
              <w:spacing w:beforeAutospacing="1" w:afterAutospacing="1"/>
            </w:pPr>
            <w:r w:rsidRPr="005856D5">
              <w:rPr>
                <w:color w:val="000000"/>
              </w:rPr>
              <w:t>Total</w:t>
            </w:r>
          </w:p>
        </w:tc>
        <w:tc>
          <w:tcPr>
            <w:cnfStyle w:val="000100000000" w:firstRow="0" w:lastRow="0" w:firstColumn="0" w:lastColumn="1" w:oddVBand="0" w:evenVBand="0" w:oddHBand="0" w:evenHBand="0" w:firstRowFirstColumn="0" w:firstRowLastColumn="0" w:lastRowFirstColumn="0" w:lastRowLastColumn="0"/>
            <w:tcW w:w="3516" w:type="dxa"/>
          </w:tcPr>
          <w:p w14:paraId="13A20E3A" w14:textId="77777777" w:rsidR="00BA1F82" w:rsidRPr="00C0352B" w:rsidRDefault="0043143B" w:rsidP="00444036">
            <w:pPr>
              <w:spacing w:before="100" w:beforeAutospacing="1" w:after="100" w:afterAutospacing="1"/>
              <w:jc w:val="right"/>
            </w:pPr>
            <w:r>
              <w:t>3,818</w:t>
            </w:r>
          </w:p>
        </w:tc>
      </w:tr>
    </w:tbl>
    <w:p w14:paraId="1F6BFD5F" w14:textId="77777777" w:rsidR="005856D5" w:rsidRDefault="005856D5" w:rsidP="0056702A">
      <w:pPr>
        <w:keepNext/>
        <w:widowControl w:val="0"/>
        <w:rPr>
          <w:b/>
          <w:szCs w:val="24"/>
        </w:rPr>
      </w:pPr>
      <w:r>
        <w:rPr>
          <w:b/>
          <w:szCs w:val="24"/>
        </w:rPr>
        <w:t>4b. Complete for Rapid Re-Housing Activities</w:t>
      </w:r>
    </w:p>
    <w:p w14:paraId="0CE3D9D1" w14:textId="77777777" w:rsidR="00BA1F82" w:rsidRDefault="00BA1F82" w:rsidP="0056702A">
      <w:pPr>
        <w:pStyle w:val="Caption"/>
        <w:ind w:left="720" w:firstLine="720"/>
        <w:rPr>
          <w:rFonts w:ascii="Arial" w:hAnsi="Arial" w:cs="Arial"/>
          <w:sz w:val="16"/>
        </w:rPr>
      </w:pPr>
    </w:p>
    <w:p w14:paraId="1C27D229" w14:textId="77777777" w:rsidR="00BA1F82" w:rsidRDefault="00BA1F82" w:rsidP="0056702A">
      <w:pPr>
        <w:pStyle w:val="Caption"/>
        <w:ind w:left="720" w:firstLine="720"/>
        <w:rPr>
          <w:rFonts w:ascii="Arial" w:hAnsi="Arial" w:cs="Arial"/>
          <w:sz w:val="16"/>
        </w:rPr>
      </w:pPr>
    </w:p>
    <w:p w14:paraId="3EB64151" w14:textId="77777777" w:rsidR="00BA1F82" w:rsidRDefault="00BA1F82" w:rsidP="0056702A">
      <w:pPr>
        <w:pStyle w:val="Caption"/>
        <w:ind w:left="720" w:firstLine="720"/>
        <w:rPr>
          <w:rFonts w:ascii="Arial" w:hAnsi="Arial" w:cs="Arial"/>
          <w:sz w:val="16"/>
        </w:rPr>
      </w:pPr>
    </w:p>
    <w:p w14:paraId="70F492C5" w14:textId="77777777" w:rsidR="00BA1F82" w:rsidRDefault="00BA1F82" w:rsidP="0056702A">
      <w:pPr>
        <w:pStyle w:val="Caption"/>
        <w:ind w:left="720" w:firstLine="720"/>
        <w:rPr>
          <w:rFonts w:ascii="Arial" w:hAnsi="Arial" w:cs="Arial"/>
          <w:sz w:val="16"/>
        </w:rPr>
      </w:pPr>
    </w:p>
    <w:p w14:paraId="71AF814E" w14:textId="77777777" w:rsidR="00BA1F82" w:rsidRDefault="00BA1F82" w:rsidP="0056702A">
      <w:pPr>
        <w:pStyle w:val="Caption"/>
        <w:ind w:left="720" w:firstLine="720"/>
        <w:rPr>
          <w:rFonts w:ascii="Arial" w:hAnsi="Arial" w:cs="Arial"/>
          <w:sz w:val="16"/>
        </w:rPr>
      </w:pPr>
    </w:p>
    <w:p w14:paraId="75008358" w14:textId="77777777" w:rsidR="00BA1F82" w:rsidRDefault="00BA1F82" w:rsidP="0056702A">
      <w:pPr>
        <w:pStyle w:val="Caption"/>
        <w:ind w:left="720" w:firstLine="720"/>
        <w:rPr>
          <w:rFonts w:ascii="Arial" w:hAnsi="Arial" w:cs="Arial"/>
          <w:sz w:val="16"/>
        </w:rPr>
      </w:pPr>
    </w:p>
    <w:p w14:paraId="2FBBCA78" w14:textId="77777777" w:rsidR="00BA1F82" w:rsidRDefault="00BA1F82" w:rsidP="0056702A">
      <w:pPr>
        <w:pStyle w:val="Caption"/>
        <w:ind w:left="720" w:firstLine="720"/>
        <w:rPr>
          <w:rFonts w:ascii="Arial" w:hAnsi="Arial" w:cs="Arial"/>
          <w:sz w:val="16"/>
        </w:rPr>
      </w:pPr>
    </w:p>
    <w:p w14:paraId="52532F0A" w14:textId="77777777" w:rsidR="00BA1F82" w:rsidRDefault="00BA1F82" w:rsidP="00BA1F82">
      <w:pPr>
        <w:pStyle w:val="Caption"/>
        <w:rPr>
          <w:rFonts w:ascii="Arial" w:hAnsi="Arial" w:cs="Arial"/>
          <w:sz w:val="16"/>
        </w:rPr>
      </w:pPr>
    </w:p>
    <w:p w14:paraId="5C407D7B" w14:textId="77777777" w:rsidR="00444036" w:rsidRDefault="00444036" w:rsidP="00444036">
      <w:pPr>
        <w:pStyle w:val="Caption"/>
        <w:rPr>
          <w:rFonts w:ascii="Arial" w:hAnsi="Arial" w:cs="Arial"/>
          <w:sz w:val="16"/>
        </w:rPr>
      </w:pPr>
    </w:p>
    <w:p w14:paraId="311AB246" w14:textId="77777777" w:rsidR="00444036" w:rsidRDefault="00444036" w:rsidP="00444036">
      <w:pPr>
        <w:pStyle w:val="Caption"/>
        <w:rPr>
          <w:rFonts w:ascii="Arial" w:hAnsi="Arial" w:cs="Arial"/>
          <w:sz w:val="16"/>
        </w:rPr>
      </w:pPr>
    </w:p>
    <w:p w14:paraId="6835F20E" w14:textId="77777777" w:rsidR="005856D5" w:rsidRPr="005856D5" w:rsidRDefault="005856D5" w:rsidP="00444036">
      <w:pPr>
        <w:pStyle w:val="Caption"/>
        <w:ind w:left="720" w:firstLine="720"/>
        <w:rPr>
          <w:rFonts w:ascii="Arial" w:hAnsi="Arial" w:cs="Arial"/>
          <w:sz w:val="16"/>
        </w:rPr>
      </w:pPr>
      <w:r w:rsidRPr="005856D5">
        <w:rPr>
          <w:rFonts w:ascii="Arial" w:hAnsi="Arial" w:cs="Arial"/>
          <w:sz w:val="16"/>
        </w:rPr>
        <w:t xml:space="preserve">Table </w:t>
      </w:r>
      <w:r w:rsidRPr="005856D5">
        <w:rPr>
          <w:rFonts w:ascii="Arial" w:hAnsi="Arial" w:cs="Arial"/>
          <w:sz w:val="16"/>
        </w:rPr>
        <w:fldChar w:fldCharType="begin"/>
      </w:r>
      <w:r w:rsidRPr="005856D5">
        <w:rPr>
          <w:rFonts w:ascii="Arial" w:hAnsi="Arial" w:cs="Arial"/>
          <w:sz w:val="16"/>
        </w:rPr>
        <w:instrText xml:space="preserve"> SEQ Table \* ARABIC </w:instrText>
      </w:r>
      <w:r w:rsidRPr="005856D5">
        <w:rPr>
          <w:rFonts w:ascii="Arial" w:hAnsi="Arial" w:cs="Arial"/>
          <w:sz w:val="16"/>
        </w:rPr>
        <w:fldChar w:fldCharType="separate"/>
      </w:r>
      <w:r w:rsidR="00AA534C">
        <w:rPr>
          <w:rFonts w:ascii="Arial" w:hAnsi="Arial" w:cs="Arial"/>
          <w:noProof/>
          <w:sz w:val="16"/>
        </w:rPr>
        <w:t>12</w:t>
      </w:r>
      <w:r w:rsidRPr="005856D5">
        <w:rPr>
          <w:rFonts w:ascii="Arial" w:hAnsi="Arial" w:cs="Arial"/>
          <w:sz w:val="16"/>
        </w:rPr>
        <w:fldChar w:fldCharType="end"/>
      </w:r>
      <w:r w:rsidRPr="005856D5">
        <w:rPr>
          <w:rFonts w:ascii="Arial" w:hAnsi="Arial" w:cs="Arial"/>
          <w:sz w:val="16"/>
        </w:rPr>
        <w:t xml:space="preserve"> – Household Information for Rapid Re-Housing Activities</w:t>
      </w:r>
    </w:p>
    <w:p w14:paraId="7893FFFD" w14:textId="77777777" w:rsidR="005856D5" w:rsidRDefault="005856D5" w:rsidP="005856D5">
      <w:pPr>
        <w:widowControl w:val="0"/>
        <w:ind w:left="2160"/>
        <w:rPr>
          <w:b/>
          <w:sz w:val="20"/>
          <w:szCs w:val="20"/>
        </w:rPr>
      </w:pPr>
    </w:p>
    <w:tbl>
      <w:tblPr>
        <w:tblStyle w:val="GridTable4-Accent3"/>
        <w:tblpPr w:leftFromText="180" w:rightFromText="180" w:vertAnchor="text" w:horzAnchor="margin" w:tblpY="400"/>
        <w:tblW w:w="2816" w:type="pct"/>
        <w:tblLayout w:type="fixed"/>
        <w:tblLook w:val="01E0" w:firstRow="1" w:lastRow="1" w:firstColumn="1" w:lastColumn="1" w:noHBand="0" w:noVBand="0"/>
      </w:tblPr>
      <w:tblGrid>
        <w:gridCol w:w="4588"/>
        <w:gridCol w:w="3516"/>
      </w:tblGrid>
      <w:tr w:rsidR="00BA1F82" w14:paraId="708912DD" w14:textId="77777777" w:rsidTr="00BA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60D0853E" w14:textId="77777777" w:rsidR="00BA1F82" w:rsidRPr="005856D5" w:rsidRDefault="00BA1F82" w:rsidP="00BA1F82">
            <w:pPr>
              <w:keepNext/>
              <w:widowControl w:val="0"/>
              <w:jc w:val="center"/>
              <w:rPr>
                <w:rFonts w:cs="Arial"/>
                <w:szCs w:val="24"/>
              </w:rPr>
            </w:pPr>
            <w:r w:rsidRPr="005856D5">
              <w:rPr>
                <w:rFonts w:cs="Arial"/>
                <w:bCs w:val="0"/>
                <w:szCs w:val="24"/>
              </w:rPr>
              <w:t>Number of Persons in Households</w:t>
            </w:r>
          </w:p>
        </w:tc>
        <w:tc>
          <w:tcPr>
            <w:cnfStyle w:val="000100000000" w:firstRow="0" w:lastRow="0" w:firstColumn="0" w:lastColumn="1" w:oddVBand="0" w:evenVBand="0" w:oddHBand="0" w:evenHBand="0" w:firstRowFirstColumn="0" w:firstRowLastColumn="0" w:lastRowFirstColumn="0" w:lastRowLastColumn="0"/>
            <w:tcW w:w="3516" w:type="dxa"/>
          </w:tcPr>
          <w:p w14:paraId="3A9490F0" w14:textId="77777777" w:rsidR="00BA1F82" w:rsidRPr="005856D5" w:rsidRDefault="00BA1F82" w:rsidP="00BA1F82">
            <w:pPr>
              <w:pStyle w:val="NoSpacing"/>
              <w:keepNext/>
              <w:jc w:val="center"/>
              <w:rPr>
                <w:rFonts w:ascii="Arial" w:hAnsi="Arial" w:cs="Arial"/>
                <w:sz w:val="24"/>
                <w:szCs w:val="24"/>
              </w:rPr>
            </w:pPr>
            <w:r w:rsidRPr="005856D5">
              <w:rPr>
                <w:rFonts w:ascii="Arial" w:hAnsi="Arial" w:cs="Arial"/>
                <w:sz w:val="24"/>
                <w:szCs w:val="24"/>
              </w:rPr>
              <w:t>Total</w:t>
            </w:r>
          </w:p>
        </w:tc>
      </w:tr>
      <w:tr w:rsidR="00BA1F82" w14:paraId="48190249" w14:textId="77777777" w:rsidTr="00B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55A593A8" w14:textId="77777777" w:rsidR="00BA1F82" w:rsidRPr="005856D5" w:rsidRDefault="00BA1F82" w:rsidP="00BA1F82">
            <w:pPr>
              <w:spacing w:before="100" w:beforeAutospacing="1" w:after="100" w:afterAutospacing="1"/>
              <w:rPr>
                <w:b w:val="0"/>
              </w:rPr>
            </w:pPr>
            <w:r w:rsidRPr="005856D5">
              <w:rPr>
                <w:b w:val="0"/>
                <w:color w:val="000000"/>
              </w:rPr>
              <w:t>Adults</w:t>
            </w:r>
          </w:p>
        </w:tc>
        <w:tc>
          <w:tcPr>
            <w:cnfStyle w:val="000100000000" w:firstRow="0" w:lastRow="0" w:firstColumn="0" w:lastColumn="1" w:oddVBand="0" w:evenVBand="0" w:oddHBand="0" w:evenHBand="0" w:firstRowFirstColumn="0" w:firstRowLastColumn="0" w:lastRowFirstColumn="0" w:lastRowLastColumn="0"/>
            <w:tcW w:w="3516" w:type="dxa"/>
          </w:tcPr>
          <w:p w14:paraId="4C1E791C" w14:textId="77777777" w:rsidR="00BA1F82" w:rsidRPr="00C0352B" w:rsidRDefault="0043143B" w:rsidP="00BA1F82">
            <w:pPr>
              <w:spacing w:before="100" w:beforeAutospacing="1" w:after="100" w:afterAutospacing="1"/>
              <w:jc w:val="right"/>
              <w:rPr>
                <w:b w:val="0"/>
              </w:rPr>
            </w:pPr>
            <w:r>
              <w:rPr>
                <w:b w:val="0"/>
              </w:rPr>
              <w:t>5,954</w:t>
            </w:r>
          </w:p>
        </w:tc>
      </w:tr>
      <w:tr w:rsidR="00BA1F82" w14:paraId="78FEEC1B" w14:textId="77777777" w:rsidTr="00BA1F82">
        <w:tc>
          <w:tcPr>
            <w:cnfStyle w:val="001000000000" w:firstRow="0" w:lastRow="0" w:firstColumn="1" w:lastColumn="0" w:oddVBand="0" w:evenVBand="0" w:oddHBand="0" w:evenHBand="0" w:firstRowFirstColumn="0" w:firstRowLastColumn="0" w:lastRowFirstColumn="0" w:lastRowLastColumn="0"/>
            <w:tcW w:w="4588" w:type="dxa"/>
          </w:tcPr>
          <w:p w14:paraId="02797F91" w14:textId="77777777" w:rsidR="00BA1F82" w:rsidRPr="005856D5" w:rsidRDefault="00BA1F82" w:rsidP="00BA1F82">
            <w:pPr>
              <w:spacing w:before="100" w:beforeAutospacing="1" w:after="100" w:afterAutospacing="1"/>
              <w:rPr>
                <w:b w:val="0"/>
              </w:rPr>
            </w:pPr>
            <w:r w:rsidRPr="005856D5">
              <w:rPr>
                <w:b w:val="0"/>
                <w:color w:val="000000"/>
              </w:rPr>
              <w:t>Children</w:t>
            </w:r>
          </w:p>
        </w:tc>
        <w:tc>
          <w:tcPr>
            <w:cnfStyle w:val="000100000000" w:firstRow="0" w:lastRow="0" w:firstColumn="0" w:lastColumn="1" w:oddVBand="0" w:evenVBand="0" w:oddHBand="0" w:evenHBand="0" w:firstRowFirstColumn="0" w:firstRowLastColumn="0" w:lastRowFirstColumn="0" w:lastRowLastColumn="0"/>
            <w:tcW w:w="3516" w:type="dxa"/>
          </w:tcPr>
          <w:p w14:paraId="0A1F9760" w14:textId="77777777" w:rsidR="00BA1F82" w:rsidRPr="00C0352B" w:rsidRDefault="0043143B" w:rsidP="00BA1F82">
            <w:pPr>
              <w:spacing w:before="100" w:beforeAutospacing="1" w:after="100" w:afterAutospacing="1"/>
              <w:jc w:val="right"/>
              <w:rPr>
                <w:b w:val="0"/>
              </w:rPr>
            </w:pPr>
            <w:r>
              <w:rPr>
                <w:b w:val="0"/>
              </w:rPr>
              <w:t>1,817</w:t>
            </w:r>
          </w:p>
        </w:tc>
      </w:tr>
      <w:tr w:rsidR="00BA1F82" w14:paraId="4EB04F48" w14:textId="77777777" w:rsidTr="00B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66B4BB69" w14:textId="77777777" w:rsidR="00BA1F82" w:rsidRPr="005856D5" w:rsidRDefault="00BA1F82" w:rsidP="00BA1F82">
            <w:pPr>
              <w:spacing w:before="100" w:beforeAutospacing="1" w:after="100" w:afterAutospacing="1"/>
              <w:rPr>
                <w:b w:val="0"/>
              </w:rPr>
            </w:pPr>
            <w:r w:rsidRPr="005856D5">
              <w:rPr>
                <w:b w:val="0"/>
                <w:color w:val="000000"/>
              </w:rPr>
              <w:t>Don't Know/Refused/Other</w:t>
            </w:r>
          </w:p>
        </w:tc>
        <w:tc>
          <w:tcPr>
            <w:cnfStyle w:val="000100000000" w:firstRow="0" w:lastRow="0" w:firstColumn="0" w:lastColumn="1" w:oddVBand="0" w:evenVBand="0" w:oddHBand="0" w:evenHBand="0" w:firstRowFirstColumn="0" w:firstRowLastColumn="0" w:lastRowFirstColumn="0" w:lastRowLastColumn="0"/>
            <w:tcW w:w="3516" w:type="dxa"/>
          </w:tcPr>
          <w:p w14:paraId="3E86A68D" w14:textId="77777777" w:rsidR="00BA1F82" w:rsidRPr="00C0352B" w:rsidRDefault="0043143B" w:rsidP="00BA1F82">
            <w:pPr>
              <w:spacing w:before="100" w:beforeAutospacing="1" w:after="100" w:afterAutospacing="1"/>
              <w:jc w:val="right"/>
              <w:rPr>
                <w:b w:val="0"/>
              </w:rPr>
            </w:pPr>
            <w:r>
              <w:rPr>
                <w:b w:val="0"/>
              </w:rPr>
              <w:t>2</w:t>
            </w:r>
          </w:p>
        </w:tc>
      </w:tr>
      <w:tr w:rsidR="00BA1F82" w14:paraId="22A129BF" w14:textId="77777777" w:rsidTr="00BA1F82">
        <w:tc>
          <w:tcPr>
            <w:cnfStyle w:val="001000000000" w:firstRow="0" w:lastRow="0" w:firstColumn="1" w:lastColumn="0" w:oddVBand="0" w:evenVBand="0" w:oddHBand="0" w:evenHBand="0" w:firstRowFirstColumn="0" w:firstRowLastColumn="0" w:lastRowFirstColumn="0" w:lastRowLastColumn="0"/>
            <w:tcW w:w="4588" w:type="dxa"/>
          </w:tcPr>
          <w:p w14:paraId="5CDE51C0" w14:textId="77777777" w:rsidR="00BA1F82" w:rsidRPr="005856D5" w:rsidRDefault="00BA1F82" w:rsidP="00BA1F82">
            <w:pPr>
              <w:spacing w:before="100" w:beforeAutospacing="1" w:after="100" w:afterAutospacing="1"/>
              <w:rPr>
                <w:b w:val="0"/>
              </w:rPr>
            </w:pPr>
            <w:r w:rsidRPr="005856D5">
              <w:rPr>
                <w:b w:val="0"/>
                <w:color w:val="000000"/>
              </w:rPr>
              <w:t>Missing Information</w:t>
            </w:r>
          </w:p>
        </w:tc>
        <w:tc>
          <w:tcPr>
            <w:cnfStyle w:val="000100000000" w:firstRow="0" w:lastRow="0" w:firstColumn="0" w:lastColumn="1" w:oddVBand="0" w:evenVBand="0" w:oddHBand="0" w:evenHBand="0" w:firstRowFirstColumn="0" w:firstRowLastColumn="0" w:lastRowFirstColumn="0" w:lastRowLastColumn="0"/>
            <w:tcW w:w="3516" w:type="dxa"/>
          </w:tcPr>
          <w:p w14:paraId="57F30F5C" w14:textId="77777777" w:rsidR="00BA1F82" w:rsidRPr="00C0352B" w:rsidRDefault="0043143B" w:rsidP="00BA1F82">
            <w:pPr>
              <w:spacing w:before="100" w:beforeAutospacing="1" w:after="100" w:afterAutospacing="1"/>
              <w:jc w:val="right"/>
              <w:rPr>
                <w:b w:val="0"/>
              </w:rPr>
            </w:pPr>
            <w:r>
              <w:rPr>
                <w:b w:val="0"/>
              </w:rPr>
              <w:t>9</w:t>
            </w:r>
          </w:p>
        </w:tc>
      </w:tr>
      <w:tr w:rsidR="00BA1F82" w14:paraId="337177A1" w14:textId="77777777" w:rsidTr="00BA1F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1BCB3864" w14:textId="77777777" w:rsidR="00BA1F82" w:rsidRPr="005856D5" w:rsidRDefault="00BA1F82" w:rsidP="00BA1F82">
            <w:pPr>
              <w:spacing w:beforeAutospacing="1" w:afterAutospacing="1"/>
            </w:pPr>
            <w:r w:rsidRPr="005856D5">
              <w:rPr>
                <w:color w:val="000000"/>
              </w:rPr>
              <w:t>Total</w:t>
            </w:r>
          </w:p>
        </w:tc>
        <w:tc>
          <w:tcPr>
            <w:cnfStyle w:val="000100000000" w:firstRow="0" w:lastRow="0" w:firstColumn="0" w:lastColumn="1" w:oddVBand="0" w:evenVBand="0" w:oddHBand="0" w:evenHBand="0" w:firstRowFirstColumn="0" w:firstRowLastColumn="0" w:lastRowFirstColumn="0" w:lastRowLastColumn="0"/>
            <w:tcW w:w="3516" w:type="dxa"/>
          </w:tcPr>
          <w:p w14:paraId="5E3F0A0D" w14:textId="77777777" w:rsidR="00BA1F82" w:rsidRPr="00C0352B" w:rsidRDefault="0043143B" w:rsidP="00BA1F82">
            <w:pPr>
              <w:spacing w:before="100" w:beforeAutospacing="1" w:after="100" w:afterAutospacing="1"/>
              <w:jc w:val="right"/>
            </w:pPr>
            <w:r>
              <w:t>7,782</w:t>
            </w:r>
          </w:p>
        </w:tc>
      </w:tr>
    </w:tbl>
    <w:p w14:paraId="23072C57" w14:textId="77777777" w:rsidR="005856D5" w:rsidRDefault="005856D5" w:rsidP="0056702A">
      <w:pPr>
        <w:keepNext/>
        <w:widowControl w:val="0"/>
        <w:rPr>
          <w:b/>
          <w:szCs w:val="24"/>
        </w:rPr>
      </w:pPr>
      <w:r>
        <w:rPr>
          <w:b/>
          <w:szCs w:val="24"/>
        </w:rPr>
        <w:t>4c. Complete for Shelter</w:t>
      </w:r>
    </w:p>
    <w:p w14:paraId="653CB8B4" w14:textId="77777777" w:rsidR="00BA1F82" w:rsidRDefault="00BA1F82" w:rsidP="0056702A">
      <w:pPr>
        <w:pStyle w:val="Caption"/>
        <w:ind w:left="2160" w:firstLine="720"/>
        <w:rPr>
          <w:rFonts w:ascii="Arial" w:hAnsi="Arial" w:cs="Arial"/>
          <w:sz w:val="16"/>
        </w:rPr>
      </w:pPr>
    </w:p>
    <w:p w14:paraId="6586CCF2" w14:textId="77777777" w:rsidR="00BA1F82" w:rsidRDefault="00BA1F82" w:rsidP="0056702A">
      <w:pPr>
        <w:pStyle w:val="Caption"/>
        <w:ind w:left="2160" w:firstLine="720"/>
        <w:rPr>
          <w:rFonts w:ascii="Arial" w:hAnsi="Arial" w:cs="Arial"/>
          <w:sz w:val="16"/>
        </w:rPr>
      </w:pPr>
    </w:p>
    <w:p w14:paraId="7F714DE8" w14:textId="77777777" w:rsidR="00BA1F82" w:rsidRDefault="00BA1F82" w:rsidP="0056702A">
      <w:pPr>
        <w:pStyle w:val="Caption"/>
        <w:ind w:left="2160" w:firstLine="720"/>
        <w:rPr>
          <w:rFonts w:ascii="Arial" w:hAnsi="Arial" w:cs="Arial"/>
          <w:sz w:val="16"/>
        </w:rPr>
      </w:pPr>
    </w:p>
    <w:p w14:paraId="38C6AFFF" w14:textId="77777777" w:rsidR="00BA1F82" w:rsidRDefault="00BA1F82" w:rsidP="0056702A">
      <w:pPr>
        <w:pStyle w:val="Caption"/>
        <w:ind w:left="2160" w:firstLine="720"/>
        <w:rPr>
          <w:rFonts w:ascii="Arial" w:hAnsi="Arial" w:cs="Arial"/>
          <w:sz w:val="16"/>
        </w:rPr>
      </w:pPr>
    </w:p>
    <w:p w14:paraId="395AA713" w14:textId="77777777" w:rsidR="00BA1F82" w:rsidRDefault="00BA1F82" w:rsidP="0056702A">
      <w:pPr>
        <w:pStyle w:val="Caption"/>
        <w:ind w:left="2160" w:firstLine="720"/>
        <w:rPr>
          <w:rFonts w:ascii="Arial" w:hAnsi="Arial" w:cs="Arial"/>
          <w:sz w:val="16"/>
        </w:rPr>
      </w:pPr>
    </w:p>
    <w:p w14:paraId="65C84AC8" w14:textId="77777777" w:rsidR="00BA1F82" w:rsidRDefault="00BA1F82" w:rsidP="0056702A">
      <w:pPr>
        <w:pStyle w:val="Caption"/>
        <w:ind w:left="2160" w:firstLine="720"/>
        <w:rPr>
          <w:rFonts w:ascii="Arial" w:hAnsi="Arial" w:cs="Arial"/>
          <w:sz w:val="16"/>
        </w:rPr>
      </w:pPr>
    </w:p>
    <w:p w14:paraId="4FE9D46A" w14:textId="77777777" w:rsidR="00BA1F82" w:rsidRDefault="00BA1F82" w:rsidP="0056702A">
      <w:pPr>
        <w:pStyle w:val="Caption"/>
        <w:ind w:left="2160" w:firstLine="720"/>
        <w:rPr>
          <w:rFonts w:ascii="Arial" w:hAnsi="Arial" w:cs="Arial"/>
          <w:sz w:val="16"/>
        </w:rPr>
      </w:pPr>
    </w:p>
    <w:p w14:paraId="5886C6B7" w14:textId="77777777" w:rsidR="00BA1F82" w:rsidRDefault="00BA1F82" w:rsidP="0056702A">
      <w:pPr>
        <w:pStyle w:val="Caption"/>
        <w:ind w:left="2160" w:firstLine="720"/>
        <w:rPr>
          <w:rFonts w:ascii="Arial" w:hAnsi="Arial" w:cs="Arial"/>
          <w:sz w:val="16"/>
        </w:rPr>
      </w:pPr>
    </w:p>
    <w:p w14:paraId="45823D03" w14:textId="77777777" w:rsidR="00BA1F82" w:rsidRDefault="00BA1F82" w:rsidP="0056702A">
      <w:pPr>
        <w:pStyle w:val="Caption"/>
        <w:ind w:left="2160" w:firstLine="720"/>
        <w:rPr>
          <w:rFonts w:ascii="Arial" w:hAnsi="Arial" w:cs="Arial"/>
          <w:sz w:val="16"/>
        </w:rPr>
      </w:pPr>
    </w:p>
    <w:p w14:paraId="306B7076" w14:textId="77777777" w:rsidR="00BA1F82" w:rsidRDefault="00BA1F82" w:rsidP="0056702A">
      <w:pPr>
        <w:pStyle w:val="Caption"/>
        <w:ind w:left="2160" w:firstLine="720"/>
        <w:rPr>
          <w:rFonts w:ascii="Arial" w:hAnsi="Arial" w:cs="Arial"/>
          <w:sz w:val="16"/>
        </w:rPr>
      </w:pPr>
    </w:p>
    <w:p w14:paraId="24C62693" w14:textId="77777777" w:rsidR="0056702A" w:rsidRPr="00BA1F82" w:rsidRDefault="005856D5" w:rsidP="00BA1F82">
      <w:pPr>
        <w:pStyle w:val="Caption"/>
        <w:ind w:left="2160" w:firstLine="720"/>
        <w:rPr>
          <w:rFonts w:ascii="Arial" w:hAnsi="Arial" w:cs="Arial"/>
          <w:sz w:val="16"/>
        </w:rPr>
      </w:pPr>
      <w:r w:rsidRPr="005856D5">
        <w:rPr>
          <w:rFonts w:ascii="Arial" w:hAnsi="Arial" w:cs="Arial"/>
          <w:sz w:val="16"/>
        </w:rPr>
        <w:t xml:space="preserve">Table </w:t>
      </w:r>
      <w:r w:rsidRPr="005856D5">
        <w:rPr>
          <w:rFonts w:ascii="Arial" w:hAnsi="Arial" w:cs="Arial"/>
          <w:sz w:val="16"/>
        </w:rPr>
        <w:fldChar w:fldCharType="begin"/>
      </w:r>
      <w:r w:rsidRPr="005856D5">
        <w:rPr>
          <w:rFonts w:ascii="Arial" w:hAnsi="Arial" w:cs="Arial"/>
          <w:sz w:val="16"/>
        </w:rPr>
        <w:instrText xml:space="preserve"> SEQ Table \* ARABIC </w:instrText>
      </w:r>
      <w:r w:rsidRPr="005856D5">
        <w:rPr>
          <w:rFonts w:ascii="Arial" w:hAnsi="Arial" w:cs="Arial"/>
          <w:sz w:val="16"/>
        </w:rPr>
        <w:fldChar w:fldCharType="separate"/>
      </w:r>
      <w:r w:rsidR="00AA534C">
        <w:rPr>
          <w:rFonts w:ascii="Arial" w:hAnsi="Arial" w:cs="Arial"/>
          <w:noProof/>
          <w:sz w:val="16"/>
        </w:rPr>
        <w:t>13</w:t>
      </w:r>
      <w:r w:rsidRPr="005856D5">
        <w:rPr>
          <w:rFonts w:ascii="Arial" w:hAnsi="Arial" w:cs="Arial"/>
          <w:sz w:val="16"/>
        </w:rPr>
        <w:fldChar w:fldCharType="end"/>
      </w:r>
      <w:r w:rsidRPr="005856D5">
        <w:rPr>
          <w:rFonts w:ascii="Arial" w:hAnsi="Arial" w:cs="Arial"/>
          <w:sz w:val="16"/>
        </w:rPr>
        <w:t xml:space="preserve"> – Shelter Information</w:t>
      </w:r>
      <w:r w:rsidR="005738BA">
        <w:rPr>
          <w:rFonts w:ascii="Arial" w:hAnsi="Arial" w:cs="Arial"/>
          <w:sz w:val="16"/>
        </w:rPr>
        <w:t xml:space="preserve"> </w:t>
      </w:r>
      <w:r w:rsidR="00457913">
        <w:rPr>
          <w:rFonts w:ascii="Arial" w:hAnsi="Arial" w:cs="Arial"/>
          <w:sz w:val="16"/>
        </w:rPr>
        <w:t>X</w:t>
      </w:r>
    </w:p>
    <w:p w14:paraId="60C2A8B9" w14:textId="77777777" w:rsidR="0056702A" w:rsidRDefault="0056702A" w:rsidP="0056702A">
      <w:pPr>
        <w:keepNext/>
        <w:widowControl w:val="0"/>
        <w:rPr>
          <w:b/>
          <w:szCs w:val="24"/>
        </w:rPr>
      </w:pPr>
      <w:r>
        <w:rPr>
          <w:b/>
          <w:szCs w:val="24"/>
        </w:rPr>
        <w:lastRenderedPageBreak/>
        <w:t>4d. Street Outreach</w:t>
      </w:r>
    </w:p>
    <w:tbl>
      <w:tblPr>
        <w:tblStyle w:val="GridTable4-Accent3"/>
        <w:tblpPr w:leftFromText="180" w:rightFromText="180" w:vertAnchor="text" w:horzAnchor="margin" w:tblpY="33"/>
        <w:tblW w:w="2816" w:type="pct"/>
        <w:tblLayout w:type="fixed"/>
        <w:tblLook w:val="01E0" w:firstRow="1" w:lastRow="1" w:firstColumn="1" w:lastColumn="1" w:noHBand="0" w:noVBand="0"/>
      </w:tblPr>
      <w:tblGrid>
        <w:gridCol w:w="4588"/>
        <w:gridCol w:w="3516"/>
      </w:tblGrid>
      <w:tr w:rsidR="00BA1F82" w14:paraId="0C0DD62D" w14:textId="77777777" w:rsidTr="00444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26CF9A73" w14:textId="77777777" w:rsidR="00BA1F82" w:rsidRPr="005856D5" w:rsidRDefault="00BA1F82" w:rsidP="00444036">
            <w:pPr>
              <w:keepNext/>
              <w:keepLines/>
              <w:widowControl w:val="0"/>
              <w:jc w:val="center"/>
              <w:rPr>
                <w:rFonts w:cs="Arial"/>
              </w:rPr>
            </w:pPr>
            <w:r w:rsidRPr="005856D5">
              <w:rPr>
                <w:rFonts w:cs="Arial"/>
                <w:bCs w:val="0"/>
              </w:rPr>
              <w:t>Number of Persons in Households</w:t>
            </w:r>
          </w:p>
        </w:tc>
        <w:tc>
          <w:tcPr>
            <w:cnfStyle w:val="000100000000" w:firstRow="0" w:lastRow="0" w:firstColumn="0" w:lastColumn="1" w:oddVBand="0" w:evenVBand="0" w:oddHBand="0" w:evenHBand="0" w:firstRowFirstColumn="0" w:firstRowLastColumn="0" w:lastRowFirstColumn="0" w:lastRowLastColumn="0"/>
            <w:tcW w:w="3516" w:type="dxa"/>
          </w:tcPr>
          <w:p w14:paraId="0564EE12" w14:textId="77777777" w:rsidR="00BA1F82" w:rsidRPr="005856D5" w:rsidRDefault="00BA1F82" w:rsidP="00444036">
            <w:pPr>
              <w:pStyle w:val="NoSpacing"/>
              <w:keepNext/>
              <w:keepLines/>
              <w:jc w:val="center"/>
              <w:rPr>
                <w:rFonts w:ascii="Arial" w:hAnsi="Arial" w:cs="Arial"/>
              </w:rPr>
            </w:pPr>
            <w:r w:rsidRPr="005856D5">
              <w:rPr>
                <w:rFonts w:ascii="Arial" w:hAnsi="Arial" w:cs="Arial"/>
                <w:sz w:val="24"/>
              </w:rPr>
              <w:t>Total</w:t>
            </w:r>
          </w:p>
        </w:tc>
      </w:tr>
      <w:tr w:rsidR="00BA1F82" w14:paraId="6C6137DC" w14:textId="77777777" w:rsidTr="0044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09DE2137" w14:textId="77777777" w:rsidR="00BA1F82" w:rsidRPr="005856D5" w:rsidRDefault="00BA1F82" w:rsidP="00444036">
            <w:pPr>
              <w:spacing w:before="100" w:beforeAutospacing="1" w:after="100" w:afterAutospacing="1"/>
              <w:rPr>
                <w:b w:val="0"/>
              </w:rPr>
            </w:pPr>
            <w:r w:rsidRPr="005856D5">
              <w:rPr>
                <w:b w:val="0"/>
                <w:color w:val="000000"/>
              </w:rPr>
              <w:t>Adults</w:t>
            </w:r>
          </w:p>
        </w:tc>
        <w:tc>
          <w:tcPr>
            <w:cnfStyle w:val="000100000000" w:firstRow="0" w:lastRow="0" w:firstColumn="0" w:lastColumn="1" w:oddVBand="0" w:evenVBand="0" w:oddHBand="0" w:evenHBand="0" w:firstRowFirstColumn="0" w:firstRowLastColumn="0" w:lastRowFirstColumn="0" w:lastRowLastColumn="0"/>
            <w:tcW w:w="3516" w:type="dxa"/>
          </w:tcPr>
          <w:p w14:paraId="29ACFC8B" w14:textId="77777777" w:rsidR="00BA1F82" w:rsidRPr="00C0352B" w:rsidRDefault="0043143B" w:rsidP="00444036">
            <w:pPr>
              <w:spacing w:before="100" w:beforeAutospacing="1" w:after="100" w:afterAutospacing="1"/>
              <w:jc w:val="right"/>
              <w:rPr>
                <w:b w:val="0"/>
              </w:rPr>
            </w:pPr>
            <w:r>
              <w:rPr>
                <w:b w:val="0"/>
              </w:rPr>
              <w:t>1,938</w:t>
            </w:r>
          </w:p>
        </w:tc>
      </w:tr>
      <w:tr w:rsidR="00BA1F82" w14:paraId="19B51876" w14:textId="77777777" w:rsidTr="00444036">
        <w:tc>
          <w:tcPr>
            <w:cnfStyle w:val="001000000000" w:firstRow="0" w:lastRow="0" w:firstColumn="1" w:lastColumn="0" w:oddVBand="0" w:evenVBand="0" w:oddHBand="0" w:evenHBand="0" w:firstRowFirstColumn="0" w:firstRowLastColumn="0" w:lastRowFirstColumn="0" w:lastRowLastColumn="0"/>
            <w:tcW w:w="4588" w:type="dxa"/>
          </w:tcPr>
          <w:p w14:paraId="68A8EB2E" w14:textId="77777777" w:rsidR="00BA1F82" w:rsidRPr="005856D5" w:rsidRDefault="00BA1F82" w:rsidP="00444036">
            <w:pPr>
              <w:spacing w:before="100" w:beforeAutospacing="1" w:after="100" w:afterAutospacing="1"/>
              <w:rPr>
                <w:b w:val="0"/>
              </w:rPr>
            </w:pPr>
            <w:r w:rsidRPr="005856D5">
              <w:rPr>
                <w:b w:val="0"/>
                <w:color w:val="000000"/>
              </w:rPr>
              <w:t>Children</w:t>
            </w:r>
          </w:p>
        </w:tc>
        <w:tc>
          <w:tcPr>
            <w:cnfStyle w:val="000100000000" w:firstRow="0" w:lastRow="0" w:firstColumn="0" w:lastColumn="1" w:oddVBand="0" w:evenVBand="0" w:oddHBand="0" w:evenHBand="0" w:firstRowFirstColumn="0" w:firstRowLastColumn="0" w:lastRowFirstColumn="0" w:lastRowLastColumn="0"/>
            <w:tcW w:w="3516" w:type="dxa"/>
          </w:tcPr>
          <w:p w14:paraId="33533215" w14:textId="77777777" w:rsidR="00BA1F82" w:rsidRPr="00C0352B" w:rsidRDefault="0043143B" w:rsidP="00444036">
            <w:pPr>
              <w:spacing w:before="100" w:beforeAutospacing="1" w:after="100" w:afterAutospacing="1"/>
              <w:jc w:val="right"/>
              <w:rPr>
                <w:b w:val="0"/>
              </w:rPr>
            </w:pPr>
            <w:r>
              <w:rPr>
                <w:b w:val="0"/>
              </w:rPr>
              <w:t>73</w:t>
            </w:r>
          </w:p>
        </w:tc>
      </w:tr>
      <w:tr w:rsidR="00BA1F82" w14:paraId="4059ACEB" w14:textId="77777777" w:rsidTr="0044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53782F9F" w14:textId="77777777" w:rsidR="00BA1F82" w:rsidRPr="005856D5" w:rsidRDefault="00BA1F82" w:rsidP="00444036">
            <w:pPr>
              <w:spacing w:before="100" w:beforeAutospacing="1" w:after="100" w:afterAutospacing="1"/>
              <w:rPr>
                <w:b w:val="0"/>
              </w:rPr>
            </w:pPr>
            <w:r w:rsidRPr="005856D5">
              <w:rPr>
                <w:b w:val="0"/>
                <w:color w:val="000000"/>
              </w:rPr>
              <w:t>Don't Know/Refused/Other</w:t>
            </w:r>
          </w:p>
        </w:tc>
        <w:tc>
          <w:tcPr>
            <w:cnfStyle w:val="000100000000" w:firstRow="0" w:lastRow="0" w:firstColumn="0" w:lastColumn="1" w:oddVBand="0" w:evenVBand="0" w:oddHBand="0" w:evenHBand="0" w:firstRowFirstColumn="0" w:firstRowLastColumn="0" w:lastRowFirstColumn="0" w:lastRowLastColumn="0"/>
            <w:tcW w:w="3516" w:type="dxa"/>
          </w:tcPr>
          <w:p w14:paraId="44C7CEE9" w14:textId="77777777" w:rsidR="00BA1F82" w:rsidRPr="00C0352B" w:rsidRDefault="0043143B" w:rsidP="00444036">
            <w:pPr>
              <w:spacing w:before="100" w:beforeAutospacing="1" w:after="100" w:afterAutospacing="1"/>
              <w:jc w:val="right"/>
              <w:rPr>
                <w:b w:val="0"/>
              </w:rPr>
            </w:pPr>
            <w:r>
              <w:rPr>
                <w:b w:val="0"/>
              </w:rPr>
              <w:t>1</w:t>
            </w:r>
          </w:p>
        </w:tc>
      </w:tr>
      <w:tr w:rsidR="00BA1F82" w14:paraId="682731E7" w14:textId="77777777" w:rsidTr="00444036">
        <w:tc>
          <w:tcPr>
            <w:cnfStyle w:val="001000000000" w:firstRow="0" w:lastRow="0" w:firstColumn="1" w:lastColumn="0" w:oddVBand="0" w:evenVBand="0" w:oddHBand="0" w:evenHBand="0" w:firstRowFirstColumn="0" w:firstRowLastColumn="0" w:lastRowFirstColumn="0" w:lastRowLastColumn="0"/>
            <w:tcW w:w="4588" w:type="dxa"/>
          </w:tcPr>
          <w:p w14:paraId="4B4B78E7" w14:textId="77777777" w:rsidR="00BA1F82" w:rsidRPr="005856D5" w:rsidRDefault="00BA1F82" w:rsidP="00444036">
            <w:pPr>
              <w:spacing w:before="100" w:beforeAutospacing="1" w:after="100" w:afterAutospacing="1"/>
              <w:rPr>
                <w:b w:val="0"/>
              </w:rPr>
            </w:pPr>
            <w:r w:rsidRPr="005856D5">
              <w:rPr>
                <w:b w:val="0"/>
                <w:color w:val="000000"/>
              </w:rPr>
              <w:t>Missing Information</w:t>
            </w:r>
          </w:p>
        </w:tc>
        <w:tc>
          <w:tcPr>
            <w:cnfStyle w:val="000100000000" w:firstRow="0" w:lastRow="0" w:firstColumn="0" w:lastColumn="1" w:oddVBand="0" w:evenVBand="0" w:oddHBand="0" w:evenHBand="0" w:firstRowFirstColumn="0" w:firstRowLastColumn="0" w:lastRowFirstColumn="0" w:lastRowLastColumn="0"/>
            <w:tcW w:w="3516" w:type="dxa"/>
          </w:tcPr>
          <w:p w14:paraId="296A2557" w14:textId="77777777" w:rsidR="00BA1F82" w:rsidRPr="00C0352B" w:rsidRDefault="0043143B" w:rsidP="00444036">
            <w:pPr>
              <w:spacing w:before="100" w:beforeAutospacing="1" w:after="100" w:afterAutospacing="1"/>
              <w:jc w:val="right"/>
              <w:rPr>
                <w:b w:val="0"/>
              </w:rPr>
            </w:pPr>
            <w:r>
              <w:rPr>
                <w:b w:val="0"/>
              </w:rPr>
              <w:t>12</w:t>
            </w:r>
          </w:p>
        </w:tc>
      </w:tr>
      <w:tr w:rsidR="00BA1F82" w14:paraId="1A74845B" w14:textId="77777777" w:rsidTr="004440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42B246B5" w14:textId="77777777" w:rsidR="00BA1F82" w:rsidRPr="005856D5" w:rsidRDefault="00BA1F82" w:rsidP="00444036">
            <w:pPr>
              <w:spacing w:beforeAutospacing="1" w:afterAutospacing="1"/>
            </w:pPr>
            <w:r w:rsidRPr="005856D5">
              <w:rPr>
                <w:color w:val="000000"/>
              </w:rPr>
              <w:t>Total</w:t>
            </w:r>
          </w:p>
        </w:tc>
        <w:tc>
          <w:tcPr>
            <w:cnfStyle w:val="000100000000" w:firstRow="0" w:lastRow="0" w:firstColumn="0" w:lastColumn="1" w:oddVBand="0" w:evenVBand="0" w:oddHBand="0" w:evenHBand="0" w:firstRowFirstColumn="0" w:firstRowLastColumn="0" w:lastRowFirstColumn="0" w:lastRowLastColumn="0"/>
            <w:tcW w:w="3516" w:type="dxa"/>
          </w:tcPr>
          <w:p w14:paraId="4C4F54C9" w14:textId="77777777" w:rsidR="00BA1F82" w:rsidRPr="00C0352B" w:rsidRDefault="0043143B" w:rsidP="00444036">
            <w:pPr>
              <w:spacing w:beforeAutospacing="1" w:afterAutospacing="1"/>
              <w:jc w:val="right"/>
            </w:pPr>
            <w:r>
              <w:t>2,024</w:t>
            </w:r>
          </w:p>
        </w:tc>
      </w:tr>
    </w:tbl>
    <w:p w14:paraId="030648AA" w14:textId="77777777" w:rsidR="005856D5" w:rsidRDefault="005856D5" w:rsidP="005856D5">
      <w:pPr>
        <w:pStyle w:val="Default"/>
        <w:rPr>
          <w:rFonts w:eastAsia="Calibri" w:cs="Times New Roman"/>
          <w:b/>
          <w:bCs/>
          <w:color w:val="auto"/>
          <w:sz w:val="20"/>
          <w:szCs w:val="20"/>
        </w:rPr>
      </w:pPr>
    </w:p>
    <w:p w14:paraId="231E5EAD" w14:textId="77777777" w:rsidR="00FA5833" w:rsidRDefault="00FA5833" w:rsidP="005856D5">
      <w:pPr>
        <w:pStyle w:val="Caption"/>
        <w:ind w:left="3600" w:firstLine="720"/>
        <w:rPr>
          <w:rFonts w:ascii="Arial" w:hAnsi="Arial" w:cs="Arial"/>
          <w:sz w:val="16"/>
        </w:rPr>
      </w:pPr>
    </w:p>
    <w:p w14:paraId="5F22E02D" w14:textId="77777777" w:rsidR="00FA5833" w:rsidRDefault="00FA5833" w:rsidP="00FA5833">
      <w:pPr>
        <w:pStyle w:val="Caption"/>
        <w:ind w:left="3600" w:firstLine="720"/>
        <w:rPr>
          <w:rFonts w:ascii="Arial" w:hAnsi="Arial" w:cs="Arial"/>
          <w:sz w:val="16"/>
        </w:rPr>
      </w:pPr>
    </w:p>
    <w:p w14:paraId="57FEFA35" w14:textId="77777777" w:rsidR="0056702A" w:rsidRDefault="0056702A" w:rsidP="005738BA">
      <w:pPr>
        <w:pStyle w:val="Caption"/>
        <w:ind w:left="2160" w:firstLine="720"/>
        <w:rPr>
          <w:rFonts w:ascii="Arial" w:hAnsi="Arial" w:cs="Arial"/>
          <w:sz w:val="16"/>
        </w:rPr>
      </w:pPr>
    </w:p>
    <w:p w14:paraId="6BD1B79D" w14:textId="77777777" w:rsidR="00BA1F82" w:rsidRDefault="00BA1F82" w:rsidP="0056702A">
      <w:pPr>
        <w:pStyle w:val="Caption"/>
        <w:ind w:left="720"/>
        <w:rPr>
          <w:rFonts w:ascii="Arial" w:hAnsi="Arial" w:cs="Arial"/>
          <w:sz w:val="16"/>
        </w:rPr>
      </w:pPr>
    </w:p>
    <w:p w14:paraId="677E059B" w14:textId="77777777" w:rsidR="00BA1F82" w:rsidRDefault="00BA1F82" w:rsidP="0056702A">
      <w:pPr>
        <w:pStyle w:val="Caption"/>
        <w:ind w:left="720"/>
        <w:rPr>
          <w:rFonts w:ascii="Arial" w:hAnsi="Arial" w:cs="Arial"/>
          <w:sz w:val="16"/>
        </w:rPr>
      </w:pPr>
    </w:p>
    <w:p w14:paraId="68AA0A03" w14:textId="77777777" w:rsidR="00BA1F82" w:rsidRDefault="00BA1F82" w:rsidP="0056702A">
      <w:pPr>
        <w:pStyle w:val="Caption"/>
        <w:ind w:left="720"/>
        <w:rPr>
          <w:rFonts w:ascii="Arial" w:hAnsi="Arial" w:cs="Arial"/>
          <w:sz w:val="16"/>
        </w:rPr>
      </w:pPr>
    </w:p>
    <w:p w14:paraId="5E4EF4D9" w14:textId="77777777" w:rsidR="00BA1F82" w:rsidRDefault="00BA1F82" w:rsidP="0056702A">
      <w:pPr>
        <w:pStyle w:val="Caption"/>
        <w:ind w:left="720"/>
        <w:rPr>
          <w:rFonts w:ascii="Arial" w:hAnsi="Arial" w:cs="Arial"/>
          <w:sz w:val="16"/>
        </w:rPr>
      </w:pPr>
    </w:p>
    <w:p w14:paraId="161407EB" w14:textId="77777777" w:rsidR="00BA1F82" w:rsidRDefault="00BA1F82" w:rsidP="0056702A">
      <w:pPr>
        <w:pStyle w:val="Caption"/>
        <w:ind w:left="720"/>
        <w:rPr>
          <w:rFonts w:ascii="Arial" w:hAnsi="Arial" w:cs="Arial"/>
          <w:sz w:val="16"/>
        </w:rPr>
      </w:pPr>
    </w:p>
    <w:p w14:paraId="1980891B" w14:textId="77777777" w:rsidR="00BA1F82" w:rsidRDefault="00BA1F82" w:rsidP="0056702A">
      <w:pPr>
        <w:pStyle w:val="Caption"/>
        <w:ind w:left="720"/>
        <w:rPr>
          <w:rFonts w:ascii="Arial" w:hAnsi="Arial" w:cs="Arial"/>
          <w:sz w:val="16"/>
        </w:rPr>
      </w:pPr>
    </w:p>
    <w:p w14:paraId="73189644" w14:textId="77777777" w:rsidR="005856D5" w:rsidRPr="005738BA" w:rsidRDefault="00BA1F82" w:rsidP="00BA1F82">
      <w:pPr>
        <w:pStyle w:val="Caption"/>
        <w:ind w:left="1440" w:firstLine="720"/>
        <w:rPr>
          <w:rFonts w:ascii="Arial" w:hAnsi="Arial" w:cs="Arial"/>
          <w:sz w:val="16"/>
        </w:rPr>
      </w:pPr>
      <w:r>
        <w:rPr>
          <w:rFonts w:ascii="Arial" w:hAnsi="Arial" w:cs="Arial"/>
          <w:sz w:val="16"/>
        </w:rPr>
        <w:t>T</w:t>
      </w:r>
      <w:r w:rsidR="005856D5" w:rsidRPr="005856D5">
        <w:rPr>
          <w:rFonts w:ascii="Arial" w:hAnsi="Arial" w:cs="Arial"/>
          <w:sz w:val="16"/>
        </w:rPr>
        <w:t xml:space="preserve">able </w:t>
      </w:r>
      <w:r w:rsidR="005856D5" w:rsidRPr="005856D5">
        <w:rPr>
          <w:rFonts w:ascii="Arial" w:hAnsi="Arial" w:cs="Arial"/>
          <w:sz w:val="16"/>
        </w:rPr>
        <w:fldChar w:fldCharType="begin"/>
      </w:r>
      <w:r w:rsidR="005856D5" w:rsidRPr="005856D5">
        <w:rPr>
          <w:rFonts w:ascii="Arial" w:hAnsi="Arial" w:cs="Arial"/>
          <w:sz w:val="16"/>
        </w:rPr>
        <w:instrText xml:space="preserve"> SEQ Table \* ARABIC </w:instrText>
      </w:r>
      <w:r w:rsidR="005856D5" w:rsidRPr="005856D5">
        <w:rPr>
          <w:rFonts w:ascii="Arial" w:hAnsi="Arial" w:cs="Arial"/>
          <w:sz w:val="16"/>
        </w:rPr>
        <w:fldChar w:fldCharType="separate"/>
      </w:r>
      <w:r w:rsidR="00AA534C">
        <w:rPr>
          <w:rFonts w:ascii="Arial" w:hAnsi="Arial" w:cs="Arial"/>
          <w:noProof/>
          <w:sz w:val="16"/>
        </w:rPr>
        <w:t>14</w:t>
      </w:r>
      <w:r w:rsidR="005856D5" w:rsidRPr="005856D5">
        <w:rPr>
          <w:rFonts w:ascii="Arial" w:hAnsi="Arial" w:cs="Arial"/>
          <w:sz w:val="16"/>
        </w:rPr>
        <w:fldChar w:fldCharType="end"/>
      </w:r>
      <w:r w:rsidR="005856D5" w:rsidRPr="005856D5">
        <w:rPr>
          <w:rFonts w:ascii="Arial" w:hAnsi="Arial" w:cs="Arial"/>
          <w:sz w:val="16"/>
        </w:rPr>
        <w:t xml:space="preserve"> – Household </w:t>
      </w:r>
      <w:r w:rsidR="005738BA">
        <w:rPr>
          <w:rFonts w:ascii="Arial" w:hAnsi="Arial" w:cs="Arial"/>
          <w:sz w:val="16"/>
        </w:rPr>
        <w:t>Information for Street Outreach</w:t>
      </w:r>
    </w:p>
    <w:p w14:paraId="11499728" w14:textId="77777777" w:rsidR="005856D5" w:rsidRDefault="005856D5">
      <w:pPr>
        <w:rPr>
          <w:b/>
          <w:szCs w:val="24"/>
        </w:rPr>
      </w:pPr>
    </w:p>
    <w:p w14:paraId="4F389519" w14:textId="77777777" w:rsidR="0056702A" w:rsidRDefault="0056702A" w:rsidP="00BA1F82">
      <w:pPr>
        <w:keepNext/>
        <w:widowControl w:val="0"/>
        <w:rPr>
          <w:b/>
          <w:szCs w:val="24"/>
        </w:rPr>
      </w:pPr>
      <w:r>
        <w:rPr>
          <w:b/>
          <w:szCs w:val="24"/>
        </w:rPr>
        <w:t>4e. Totals for all Persons Served with ESG</w:t>
      </w:r>
    </w:p>
    <w:tbl>
      <w:tblPr>
        <w:tblStyle w:val="GridTable4-Accent3"/>
        <w:tblpPr w:leftFromText="180" w:rightFromText="180" w:vertAnchor="text" w:horzAnchor="margin" w:tblpY="37"/>
        <w:tblW w:w="2816" w:type="pct"/>
        <w:tblLayout w:type="fixed"/>
        <w:tblLook w:val="01E0" w:firstRow="1" w:lastRow="1" w:firstColumn="1" w:lastColumn="1" w:noHBand="0" w:noVBand="0"/>
      </w:tblPr>
      <w:tblGrid>
        <w:gridCol w:w="4588"/>
        <w:gridCol w:w="3516"/>
      </w:tblGrid>
      <w:tr w:rsidR="00BA1F82" w14:paraId="4549628A" w14:textId="77777777" w:rsidTr="00BA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48BCC96E" w14:textId="77777777" w:rsidR="00BA1F82" w:rsidRPr="005856D5" w:rsidRDefault="00BA1F82" w:rsidP="00BA1F82">
            <w:pPr>
              <w:keepNext/>
              <w:widowControl w:val="0"/>
              <w:jc w:val="center"/>
              <w:rPr>
                <w:rFonts w:cs="Arial"/>
                <w:szCs w:val="24"/>
              </w:rPr>
            </w:pPr>
            <w:r w:rsidRPr="005856D5">
              <w:rPr>
                <w:rFonts w:cs="Arial"/>
                <w:bCs w:val="0"/>
                <w:szCs w:val="24"/>
              </w:rPr>
              <w:t>Number of Persons in Households</w:t>
            </w:r>
          </w:p>
        </w:tc>
        <w:tc>
          <w:tcPr>
            <w:cnfStyle w:val="000100000000" w:firstRow="0" w:lastRow="0" w:firstColumn="0" w:lastColumn="1" w:oddVBand="0" w:evenVBand="0" w:oddHBand="0" w:evenHBand="0" w:firstRowFirstColumn="0" w:firstRowLastColumn="0" w:lastRowFirstColumn="0" w:lastRowLastColumn="0"/>
            <w:tcW w:w="3516" w:type="dxa"/>
          </w:tcPr>
          <w:p w14:paraId="0D8869A4" w14:textId="77777777" w:rsidR="00BA1F82" w:rsidRPr="005856D5" w:rsidRDefault="00BA1F82" w:rsidP="00BA1F82">
            <w:pPr>
              <w:pStyle w:val="NoSpacing"/>
              <w:keepNext/>
              <w:jc w:val="center"/>
              <w:rPr>
                <w:rFonts w:ascii="Arial" w:hAnsi="Arial" w:cs="Arial"/>
                <w:sz w:val="24"/>
                <w:szCs w:val="24"/>
              </w:rPr>
            </w:pPr>
            <w:r w:rsidRPr="005856D5">
              <w:rPr>
                <w:rFonts w:ascii="Arial" w:hAnsi="Arial" w:cs="Arial"/>
                <w:sz w:val="24"/>
                <w:szCs w:val="24"/>
              </w:rPr>
              <w:t>Total</w:t>
            </w:r>
          </w:p>
        </w:tc>
      </w:tr>
      <w:tr w:rsidR="00BA1F82" w14:paraId="21B57E20" w14:textId="77777777" w:rsidTr="00B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2B56172F" w14:textId="77777777" w:rsidR="00BA1F82" w:rsidRPr="005856D5" w:rsidRDefault="00BA1F82" w:rsidP="00BA1F82">
            <w:pPr>
              <w:spacing w:before="100" w:beforeAutospacing="1" w:after="100" w:afterAutospacing="1"/>
              <w:rPr>
                <w:b w:val="0"/>
              </w:rPr>
            </w:pPr>
            <w:r w:rsidRPr="005856D5">
              <w:rPr>
                <w:b w:val="0"/>
                <w:color w:val="000000"/>
              </w:rPr>
              <w:t>Adults</w:t>
            </w:r>
          </w:p>
        </w:tc>
        <w:tc>
          <w:tcPr>
            <w:cnfStyle w:val="000100000000" w:firstRow="0" w:lastRow="0" w:firstColumn="0" w:lastColumn="1" w:oddVBand="0" w:evenVBand="0" w:oddHBand="0" w:evenHBand="0" w:firstRowFirstColumn="0" w:firstRowLastColumn="0" w:lastRowFirstColumn="0" w:lastRowLastColumn="0"/>
            <w:tcW w:w="3516" w:type="dxa"/>
          </w:tcPr>
          <w:p w14:paraId="20C431C1" w14:textId="77777777" w:rsidR="00BA1F82" w:rsidRPr="00C0352B" w:rsidRDefault="0043143B" w:rsidP="00BA1F82">
            <w:pPr>
              <w:spacing w:before="100" w:beforeAutospacing="1" w:after="100" w:afterAutospacing="1"/>
              <w:jc w:val="right"/>
              <w:rPr>
                <w:b w:val="0"/>
              </w:rPr>
            </w:pPr>
            <w:r>
              <w:rPr>
                <w:b w:val="0"/>
              </w:rPr>
              <w:t>10,670</w:t>
            </w:r>
          </w:p>
        </w:tc>
      </w:tr>
      <w:tr w:rsidR="00BA1F82" w14:paraId="53C4A1FF" w14:textId="77777777" w:rsidTr="00BA1F82">
        <w:tc>
          <w:tcPr>
            <w:cnfStyle w:val="001000000000" w:firstRow="0" w:lastRow="0" w:firstColumn="1" w:lastColumn="0" w:oddVBand="0" w:evenVBand="0" w:oddHBand="0" w:evenHBand="0" w:firstRowFirstColumn="0" w:firstRowLastColumn="0" w:lastRowFirstColumn="0" w:lastRowLastColumn="0"/>
            <w:tcW w:w="4588" w:type="dxa"/>
          </w:tcPr>
          <w:p w14:paraId="4AB45044" w14:textId="77777777" w:rsidR="00BA1F82" w:rsidRPr="005856D5" w:rsidRDefault="00BA1F82" w:rsidP="00BA1F82">
            <w:pPr>
              <w:spacing w:before="100" w:beforeAutospacing="1" w:after="100" w:afterAutospacing="1"/>
              <w:rPr>
                <w:b w:val="0"/>
              </w:rPr>
            </w:pPr>
            <w:r w:rsidRPr="005856D5">
              <w:rPr>
                <w:b w:val="0"/>
                <w:color w:val="000000"/>
              </w:rPr>
              <w:t>Children</w:t>
            </w:r>
          </w:p>
        </w:tc>
        <w:tc>
          <w:tcPr>
            <w:cnfStyle w:val="000100000000" w:firstRow="0" w:lastRow="0" w:firstColumn="0" w:lastColumn="1" w:oddVBand="0" w:evenVBand="0" w:oddHBand="0" w:evenHBand="0" w:firstRowFirstColumn="0" w:firstRowLastColumn="0" w:lastRowFirstColumn="0" w:lastRowLastColumn="0"/>
            <w:tcW w:w="3516" w:type="dxa"/>
          </w:tcPr>
          <w:p w14:paraId="027814DA" w14:textId="77777777" w:rsidR="00BA1F82" w:rsidRPr="00C0352B" w:rsidRDefault="0043143B" w:rsidP="00BA1F82">
            <w:pPr>
              <w:spacing w:before="100" w:beforeAutospacing="1" w:after="100" w:afterAutospacing="1"/>
              <w:jc w:val="right"/>
              <w:rPr>
                <w:b w:val="0"/>
              </w:rPr>
            </w:pPr>
            <w:r>
              <w:rPr>
                <w:b w:val="0"/>
              </w:rPr>
              <w:t>3,007</w:t>
            </w:r>
          </w:p>
        </w:tc>
      </w:tr>
      <w:tr w:rsidR="00BA1F82" w14:paraId="21A26F6F" w14:textId="77777777" w:rsidTr="00B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39879353" w14:textId="77777777" w:rsidR="00BA1F82" w:rsidRPr="005856D5" w:rsidRDefault="00BA1F82" w:rsidP="00BA1F82">
            <w:pPr>
              <w:spacing w:before="100" w:beforeAutospacing="1" w:after="100" w:afterAutospacing="1"/>
              <w:rPr>
                <w:b w:val="0"/>
              </w:rPr>
            </w:pPr>
            <w:r w:rsidRPr="005856D5">
              <w:rPr>
                <w:b w:val="0"/>
                <w:color w:val="000000"/>
              </w:rPr>
              <w:t>Don't Know/Refused/Other</w:t>
            </w:r>
          </w:p>
        </w:tc>
        <w:tc>
          <w:tcPr>
            <w:cnfStyle w:val="000100000000" w:firstRow="0" w:lastRow="0" w:firstColumn="0" w:lastColumn="1" w:oddVBand="0" w:evenVBand="0" w:oddHBand="0" w:evenHBand="0" w:firstRowFirstColumn="0" w:firstRowLastColumn="0" w:lastRowFirstColumn="0" w:lastRowLastColumn="0"/>
            <w:tcW w:w="3516" w:type="dxa"/>
          </w:tcPr>
          <w:p w14:paraId="212B9FE9" w14:textId="77777777" w:rsidR="00BA1F82" w:rsidRPr="00C0352B" w:rsidRDefault="0043143B" w:rsidP="00BA1F82">
            <w:pPr>
              <w:spacing w:before="100" w:beforeAutospacing="1" w:after="100" w:afterAutospacing="1"/>
              <w:jc w:val="right"/>
              <w:rPr>
                <w:b w:val="0"/>
              </w:rPr>
            </w:pPr>
            <w:r>
              <w:rPr>
                <w:b w:val="0"/>
              </w:rPr>
              <w:t>7</w:t>
            </w:r>
          </w:p>
        </w:tc>
      </w:tr>
      <w:tr w:rsidR="00BA1F82" w14:paraId="50B62FEF" w14:textId="77777777" w:rsidTr="00BA1F82">
        <w:tc>
          <w:tcPr>
            <w:cnfStyle w:val="001000000000" w:firstRow="0" w:lastRow="0" w:firstColumn="1" w:lastColumn="0" w:oddVBand="0" w:evenVBand="0" w:oddHBand="0" w:evenHBand="0" w:firstRowFirstColumn="0" w:firstRowLastColumn="0" w:lastRowFirstColumn="0" w:lastRowLastColumn="0"/>
            <w:tcW w:w="4588" w:type="dxa"/>
          </w:tcPr>
          <w:p w14:paraId="6F99BB3B" w14:textId="77777777" w:rsidR="00BA1F82" w:rsidRPr="005856D5" w:rsidRDefault="00BA1F82" w:rsidP="00BA1F82">
            <w:pPr>
              <w:spacing w:before="100" w:beforeAutospacing="1" w:after="100" w:afterAutospacing="1"/>
              <w:rPr>
                <w:b w:val="0"/>
              </w:rPr>
            </w:pPr>
            <w:r w:rsidRPr="005856D5">
              <w:rPr>
                <w:b w:val="0"/>
                <w:color w:val="000000"/>
              </w:rPr>
              <w:t>Missing Information</w:t>
            </w:r>
          </w:p>
        </w:tc>
        <w:tc>
          <w:tcPr>
            <w:cnfStyle w:val="000100000000" w:firstRow="0" w:lastRow="0" w:firstColumn="0" w:lastColumn="1" w:oddVBand="0" w:evenVBand="0" w:oddHBand="0" w:evenHBand="0" w:firstRowFirstColumn="0" w:firstRowLastColumn="0" w:lastRowFirstColumn="0" w:lastRowLastColumn="0"/>
            <w:tcW w:w="3516" w:type="dxa"/>
          </w:tcPr>
          <w:p w14:paraId="77B0B254" w14:textId="77777777" w:rsidR="00BA1F82" w:rsidRPr="00C0352B" w:rsidRDefault="0043143B" w:rsidP="00BA1F82">
            <w:pPr>
              <w:spacing w:before="100" w:beforeAutospacing="1" w:after="100" w:afterAutospacing="1"/>
              <w:jc w:val="right"/>
              <w:rPr>
                <w:b w:val="0"/>
              </w:rPr>
            </w:pPr>
            <w:r>
              <w:rPr>
                <w:b w:val="0"/>
              </w:rPr>
              <w:t>84</w:t>
            </w:r>
          </w:p>
        </w:tc>
      </w:tr>
      <w:tr w:rsidR="00BA1F82" w14:paraId="4F747BD0" w14:textId="77777777" w:rsidTr="00BA1F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7859C18E" w14:textId="77777777" w:rsidR="00BA1F82" w:rsidRDefault="00BA1F82" w:rsidP="00BA1F82">
            <w:pPr>
              <w:spacing w:before="100" w:beforeAutospacing="1" w:after="100" w:afterAutospacing="1"/>
            </w:pPr>
            <w:r>
              <w:rPr>
                <w:b w:val="0"/>
                <w:color w:val="000000"/>
              </w:rPr>
              <w:t>Total</w:t>
            </w:r>
          </w:p>
        </w:tc>
        <w:tc>
          <w:tcPr>
            <w:cnfStyle w:val="000100000000" w:firstRow="0" w:lastRow="0" w:firstColumn="0" w:lastColumn="1" w:oddVBand="0" w:evenVBand="0" w:oddHBand="0" w:evenHBand="0" w:firstRowFirstColumn="0" w:firstRowLastColumn="0" w:lastRowFirstColumn="0" w:lastRowLastColumn="0"/>
            <w:tcW w:w="3516" w:type="dxa"/>
          </w:tcPr>
          <w:p w14:paraId="26636DB5" w14:textId="77777777" w:rsidR="00BA1F82" w:rsidRPr="00C0352B" w:rsidRDefault="0043143B" w:rsidP="00BA1F82">
            <w:pPr>
              <w:spacing w:beforeAutospacing="1" w:afterAutospacing="1"/>
              <w:jc w:val="right"/>
            </w:pPr>
            <w:r>
              <w:t>13,767</w:t>
            </w:r>
          </w:p>
        </w:tc>
      </w:tr>
    </w:tbl>
    <w:p w14:paraId="42BECA35" w14:textId="77777777" w:rsidR="0056702A" w:rsidRDefault="0056702A">
      <w:pPr>
        <w:rPr>
          <w:b/>
          <w:szCs w:val="24"/>
        </w:rPr>
      </w:pPr>
    </w:p>
    <w:p w14:paraId="2C601F75" w14:textId="77777777" w:rsidR="00FA5833" w:rsidRDefault="005856D5" w:rsidP="005856D5">
      <w:pPr>
        <w:pStyle w:val="Caption"/>
        <w:ind w:left="3600"/>
        <w:rPr>
          <w:rFonts w:ascii="Arial" w:hAnsi="Arial" w:cs="Arial"/>
          <w:sz w:val="16"/>
        </w:rPr>
      </w:pPr>
      <w:r>
        <w:rPr>
          <w:rFonts w:ascii="Arial" w:hAnsi="Arial" w:cs="Arial"/>
          <w:sz w:val="16"/>
        </w:rPr>
        <w:t xml:space="preserve">    </w:t>
      </w:r>
    </w:p>
    <w:p w14:paraId="7EA39AED" w14:textId="77777777" w:rsidR="00FA5833" w:rsidRDefault="00FA5833" w:rsidP="005856D5">
      <w:pPr>
        <w:pStyle w:val="Caption"/>
        <w:ind w:left="3600"/>
        <w:rPr>
          <w:rFonts w:ascii="Arial" w:hAnsi="Arial" w:cs="Arial"/>
          <w:sz w:val="16"/>
        </w:rPr>
      </w:pPr>
    </w:p>
    <w:p w14:paraId="657B649D" w14:textId="77777777" w:rsidR="00FA5833" w:rsidRDefault="00FA5833" w:rsidP="005856D5">
      <w:pPr>
        <w:pStyle w:val="Caption"/>
        <w:ind w:left="3600"/>
        <w:rPr>
          <w:rFonts w:ascii="Arial" w:hAnsi="Arial" w:cs="Arial"/>
          <w:sz w:val="16"/>
        </w:rPr>
      </w:pPr>
    </w:p>
    <w:p w14:paraId="49CFD83D" w14:textId="77777777" w:rsidR="00FA5833" w:rsidRDefault="00FA5833" w:rsidP="005856D5">
      <w:pPr>
        <w:pStyle w:val="Caption"/>
        <w:ind w:left="3600"/>
        <w:rPr>
          <w:rFonts w:ascii="Arial" w:hAnsi="Arial" w:cs="Arial"/>
          <w:sz w:val="16"/>
        </w:rPr>
      </w:pPr>
    </w:p>
    <w:p w14:paraId="45A78A01" w14:textId="77777777" w:rsidR="00FA5833" w:rsidRDefault="00FA5833" w:rsidP="005856D5">
      <w:pPr>
        <w:pStyle w:val="Caption"/>
        <w:ind w:left="3600"/>
        <w:rPr>
          <w:rFonts w:ascii="Arial" w:hAnsi="Arial" w:cs="Arial"/>
          <w:sz w:val="16"/>
        </w:rPr>
      </w:pPr>
    </w:p>
    <w:p w14:paraId="47662D24" w14:textId="77777777" w:rsidR="00FA5833" w:rsidRDefault="00FA5833" w:rsidP="005856D5">
      <w:pPr>
        <w:pStyle w:val="Caption"/>
        <w:ind w:left="3600"/>
        <w:rPr>
          <w:rFonts w:ascii="Arial" w:hAnsi="Arial" w:cs="Arial"/>
          <w:sz w:val="16"/>
        </w:rPr>
      </w:pPr>
    </w:p>
    <w:p w14:paraId="35DEA3AF" w14:textId="77777777" w:rsidR="00FA5833" w:rsidRDefault="00FA5833" w:rsidP="005856D5">
      <w:pPr>
        <w:pStyle w:val="Caption"/>
        <w:ind w:left="3600"/>
        <w:rPr>
          <w:rFonts w:ascii="Arial" w:hAnsi="Arial" w:cs="Arial"/>
          <w:sz w:val="16"/>
        </w:rPr>
      </w:pPr>
    </w:p>
    <w:p w14:paraId="393A2FBD" w14:textId="77777777" w:rsidR="00BA1F82" w:rsidRDefault="00BA1F82" w:rsidP="00FA5833">
      <w:pPr>
        <w:pStyle w:val="Caption"/>
        <w:ind w:left="2880"/>
        <w:rPr>
          <w:rFonts w:ascii="Arial" w:hAnsi="Arial" w:cs="Arial"/>
          <w:sz w:val="16"/>
        </w:rPr>
      </w:pPr>
    </w:p>
    <w:p w14:paraId="08464439" w14:textId="77777777" w:rsidR="005856D5" w:rsidRPr="005856D5" w:rsidRDefault="00BA1F82" w:rsidP="00BA1F82">
      <w:pPr>
        <w:pStyle w:val="Caption"/>
        <w:ind w:left="720" w:firstLine="720"/>
        <w:rPr>
          <w:rFonts w:ascii="Arial" w:hAnsi="Arial" w:cs="Arial"/>
          <w:sz w:val="16"/>
        </w:rPr>
      </w:pPr>
      <w:r>
        <w:rPr>
          <w:rFonts w:ascii="Arial" w:hAnsi="Arial" w:cs="Arial"/>
          <w:sz w:val="16"/>
        </w:rPr>
        <w:t>T</w:t>
      </w:r>
      <w:r w:rsidR="005856D5" w:rsidRPr="005856D5">
        <w:rPr>
          <w:rFonts w:ascii="Arial" w:hAnsi="Arial" w:cs="Arial"/>
          <w:sz w:val="16"/>
        </w:rPr>
        <w:t xml:space="preserve">able </w:t>
      </w:r>
      <w:r w:rsidR="005856D5" w:rsidRPr="005856D5">
        <w:rPr>
          <w:rFonts w:ascii="Arial" w:hAnsi="Arial" w:cs="Arial"/>
          <w:sz w:val="16"/>
        </w:rPr>
        <w:fldChar w:fldCharType="begin"/>
      </w:r>
      <w:r w:rsidR="005856D5" w:rsidRPr="005856D5">
        <w:rPr>
          <w:rFonts w:ascii="Arial" w:hAnsi="Arial" w:cs="Arial"/>
          <w:sz w:val="16"/>
        </w:rPr>
        <w:instrText xml:space="preserve"> SEQ Table \* ARABIC </w:instrText>
      </w:r>
      <w:r w:rsidR="005856D5" w:rsidRPr="005856D5">
        <w:rPr>
          <w:rFonts w:ascii="Arial" w:hAnsi="Arial" w:cs="Arial"/>
          <w:sz w:val="16"/>
        </w:rPr>
        <w:fldChar w:fldCharType="separate"/>
      </w:r>
      <w:r w:rsidR="00AA534C">
        <w:rPr>
          <w:rFonts w:ascii="Arial" w:hAnsi="Arial" w:cs="Arial"/>
          <w:noProof/>
          <w:sz w:val="16"/>
        </w:rPr>
        <w:t>15</w:t>
      </w:r>
      <w:r w:rsidR="005856D5" w:rsidRPr="005856D5">
        <w:rPr>
          <w:rFonts w:ascii="Arial" w:hAnsi="Arial" w:cs="Arial"/>
          <w:sz w:val="16"/>
        </w:rPr>
        <w:fldChar w:fldCharType="end"/>
      </w:r>
      <w:r w:rsidR="005856D5" w:rsidRPr="005856D5">
        <w:rPr>
          <w:rFonts w:ascii="Arial" w:hAnsi="Arial" w:cs="Arial"/>
          <w:sz w:val="16"/>
        </w:rPr>
        <w:t xml:space="preserve"> – Household Information for Persons Served with ESG</w:t>
      </w:r>
    </w:p>
    <w:p w14:paraId="0AB3FB07" w14:textId="77777777" w:rsidR="005856D5" w:rsidRDefault="005856D5" w:rsidP="005856D5">
      <w:pPr>
        <w:widowControl w:val="0"/>
        <w:rPr>
          <w:b/>
          <w:szCs w:val="24"/>
        </w:rPr>
      </w:pPr>
    </w:p>
    <w:tbl>
      <w:tblPr>
        <w:tblStyle w:val="GridTable4-Accent3"/>
        <w:tblpPr w:leftFromText="180" w:rightFromText="180" w:vertAnchor="text" w:horzAnchor="margin" w:tblpY="396"/>
        <w:tblW w:w="2816" w:type="pct"/>
        <w:tblLayout w:type="fixed"/>
        <w:tblLook w:val="01E0" w:firstRow="1" w:lastRow="1" w:firstColumn="1" w:lastColumn="1" w:noHBand="0" w:noVBand="0"/>
      </w:tblPr>
      <w:tblGrid>
        <w:gridCol w:w="4588"/>
        <w:gridCol w:w="3516"/>
      </w:tblGrid>
      <w:tr w:rsidR="00BA1F82" w14:paraId="76CFA671" w14:textId="77777777" w:rsidTr="00BA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35B1F77D" w14:textId="77777777" w:rsidR="00BA1F82" w:rsidRDefault="00BA1F82" w:rsidP="00BA1F82">
            <w:pPr>
              <w:keepNext/>
              <w:widowControl w:val="0"/>
              <w:rPr>
                <w:b w:val="0"/>
              </w:rPr>
            </w:pPr>
          </w:p>
        </w:tc>
        <w:tc>
          <w:tcPr>
            <w:cnfStyle w:val="000100000000" w:firstRow="0" w:lastRow="0" w:firstColumn="0" w:lastColumn="1" w:oddVBand="0" w:evenVBand="0" w:oddHBand="0" w:evenHBand="0" w:firstRowFirstColumn="0" w:firstRowLastColumn="0" w:lastRowFirstColumn="0" w:lastRowLastColumn="0"/>
            <w:tcW w:w="3516" w:type="dxa"/>
          </w:tcPr>
          <w:p w14:paraId="077035E1" w14:textId="77777777" w:rsidR="00BA1F82" w:rsidRPr="005856D5" w:rsidRDefault="00BA1F82" w:rsidP="00BA1F82">
            <w:pPr>
              <w:pStyle w:val="NoSpacing"/>
              <w:keepNext/>
              <w:jc w:val="center"/>
              <w:rPr>
                <w:rFonts w:ascii="Arial" w:hAnsi="Arial" w:cs="Arial"/>
              </w:rPr>
            </w:pPr>
            <w:r w:rsidRPr="005856D5">
              <w:rPr>
                <w:rFonts w:ascii="Arial" w:hAnsi="Arial" w:cs="Arial"/>
                <w:sz w:val="24"/>
              </w:rPr>
              <w:t>Total</w:t>
            </w:r>
          </w:p>
        </w:tc>
      </w:tr>
      <w:tr w:rsidR="00BA1F82" w14:paraId="6E2A50EE" w14:textId="77777777" w:rsidTr="00B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1731359D" w14:textId="77777777" w:rsidR="00BA1F82" w:rsidRPr="005856D5" w:rsidRDefault="00BA1F82" w:rsidP="00BA1F82">
            <w:pPr>
              <w:spacing w:before="100" w:beforeAutospacing="1" w:after="100" w:afterAutospacing="1"/>
              <w:rPr>
                <w:b w:val="0"/>
              </w:rPr>
            </w:pPr>
            <w:r w:rsidRPr="005856D5">
              <w:rPr>
                <w:b w:val="0"/>
                <w:color w:val="000000"/>
              </w:rPr>
              <w:t>Male</w:t>
            </w:r>
          </w:p>
        </w:tc>
        <w:tc>
          <w:tcPr>
            <w:cnfStyle w:val="000100000000" w:firstRow="0" w:lastRow="0" w:firstColumn="0" w:lastColumn="1" w:oddVBand="0" w:evenVBand="0" w:oddHBand="0" w:evenHBand="0" w:firstRowFirstColumn="0" w:firstRowLastColumn="0" w:lastRowFirstColumn="0" w:lastRowLastColumn="0"/>
            <w:tcW w:w="3516" w:type="dxa"/>
          </w:tcPr>
          <w:p w14:paraId="55E2858D" w14:textId="77777777" w:rsidR="00BA1F82" w:rsidRPr="00C0352B" w:rsidRDefault="0043143B" w:rsidP="00BA1F82">
            <w:pPr>
              <w:spacing w:before="100" w:beforeAutospacing="1" w:after="100" w:afterAutospacing="1"/>
              <w:jc w:val="right"/>
              <w:rPr>
                <w:b w:val="0"/>
              </w:rPr>
            </w:pPr>
            <w:r>
              <w:rPr>
                <w:b w:val="0"/>
              </w:rPr>
              <w:t>5,447</w:t>
            </w:r>
          </w:p>
        </w:tc>
      </w:tr>
      <w:tr w:rsidR="00BA1F82" w14:paraId="500074F6" w14:textId="77777777" w:rsidTr="00BA1F82">
        <w:tc>
          <w:tcPr>
            <w:cnfStyle w:val="001000000000" w:firstRow="0" w:lastRow="0" w:firstColumn="1" w:lastColumn="0" w:oddVBand="0" w:evenVBand="0" w:oddHBand="0" w:evenHBand="0" w:firstRowFirstColumn="0" w:firstRowLastColumn="0" w:lastRowFirstColumn="0" w:lastRowLastColumn="0"/>
            <w:tcW w:w="4588" w:type="dxa"/>
          </w:tcPr>
          <w:p w14:paraId="686FAB13" w14:textId="77777777" w:rsidR="00BA1F82" w:rsidRPr="005856D5" w:rsidRDefault="00BA1F82" w:rsidP="00BA1F82">
            <w:pPr>
              <w:spacing w:before="100" w:beforeAutospacing="1" w:after="100" w:afterAutospacing="1"/>
              <w:rPr>
                <w:b w:val="0"/>
              </w:rPr>
            </w:pPr>
            <w:r w:rsidRPr="005856D5">
              <w:rPr>
                <w:b w:val="0"/>
                <w:color w:val="000000"/>
              </w:rPr>
              <w:t>Female</w:t>
            </w:r>
          </w:p>
        </w:tc>
        <w:tc>
          <w:tcPr>
            <w:cnfStyle w:val="000100000000" w:firstRow="0" w:lastRow="0" w:firstColumn="0" w:lastColumn="1" w:oddVBand="0" w:evenVBand="0" w:oddHBand="0" w:evenHBand="0" w:firstRowFirstColumn="0" w:firstRowLastColumn="0" w:lastRowFirstColumn="0" w:lastRowLastColumn="0"/>
            <w:tcW w:w="3516" w:type="dxa"/>
          </w:tcPr>
          <w:p w14:paraId="1F02F868" w14:textId="77777777" w:rsidR="00BA1F82" w:rsidRPr="00C0352B" w:rsidRDefault="0043143B" w:rsidP="00BA1F82">
            <w:pPr>
              <w:spacing w:before="100" w:beforeAutospacing="1" w:after="100" w:afterAutospacing="1"/>
              <w:jc w:val="right"/>
              <w:rPr>
                <w:b w:val="0"/>
              </w:rPr>
            </w:pPr>
            <w:r>
              <w:rPr>
                <w:b w:val="0"/>
              </w:rPr>
              <w:t>4,997</w:t>
            </w:r>
          </w:p>
        </w:tc>
      </w:tr>
      <w:tr w:rsidR="00BA1F82" w14:paraId="56F71737" w14:textId="77777777" w:rsidTr="00B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3C93F0A3" w14:textId="77777777" w:rsidR="00BA1F82" w:rsidRPr="005856D5" w:rsidRDefault="00BA1F82" w:rsidP="00BA1F82">
            <w:pPr>
              <w:spacing w:before="100" w:beforeAutospacing="1" w:after="100" w:afterAutospacing="1"/>
              <w:rPr>
                <w:b w:val="0"/>
              </w:rPr>
            </w:pPr>
            <w:r w:rsidRPr="005856D5">
              <w:rPr>
                <w:b w:val="0"/>
                <w:color w:val="000000"/>
              </w:rPr>
              <w:t>Transgender</w:t>
            </w:r>
          </w:p>
        </w:tc>
        <w:tc>
          <w:tcPr>
            <w:cnfStyle w:val="000100000000" w:firstRow="0" w:lastRow="0" w:firstColumn="0" w:lastColumn="1" w:oddVBand="0" w:evenVBand="0" w:oddHBand="0" w:evenHBand="0" w:firstRowFirstColumn="0" w:firstRowLastColumn="0" w:lastRowFirstColumn="0" w:lastRowLastColumn="0"/>
            <w:tcW w:w="3516" w:type="dxa"/>
          </w:tcPr>
          <w:p w14:paraId="12836CF1" w14:textId="77777777" w:rsidR="00BA1F82" w:rsidRPr="00C0352B" w:rsidRDefault="0043143B" w:rsidP="00BA1F82">
            <w:pPr>
              <w:spacing w:before="100" w:beforeAutospacing="1" w:after="100" w:afterAutospacing="1"/>
              <w:jc w:val="right"/>
              <w:rPr>
                <w:b w:val="0"/>
              </w:rPr>
            </w:pPr>
            <w:r>
              <w:rPr>
                <w:b w:val="0"/>
              </w:rPr>
              <w:t>26</w:t>
            </w:r>
          </w:p>
        </w:tc>
      </w:tr>
      <w:tr w:rsidR="00BA1F82" w14:paraId="5C7D9050" w14:textId="77777777" w:rsidTr="00BA1F82">
        <w:tc>
          <w:tcPr>
            <w:cnfStyle w:val="001000000000" w:firstRow="0" w:lastRow="0" w:firstColumn="1" w:lastColumn="0" w:oddVBand="0" w:evenVBand="0" w:oddHBand="0" w:evenHBand="0" w:firstRowFirstColumn="0" w:firstRowLastColumn="0" w:lastRowFirstColumn="0" w:lastRowLastColumn="0"/>
            <w:tcW w:w="4588" w:type="dxa"/>
          </w:tcPr>
          <w:p w14:paraId="604285A0" w14:textId="77777777" w:rsidR="00BA1F82" w:rsidRPr="005856D5" w:rsidRDefault="00BA1F82" w:rsidP="00BA1F82">
            <w:pPr>
              <w:spacing w:before="100" w:beforeAutospacing="1" w:after="100" w:afterAutospacing="1"/>
              <w:rPr>
                <w:b w:val="0"/>
              </w:rPr>
            </w:pPr>
            <w:r w:rsidRPr="005856D5">
              <w:rPr>
                <w:b w:val="0"/>
                <w:color w:val="000000"/>
              </w:rPr>
              <w:t>Don't Know/Refused/Other</w:t>
            </w:r>
          </w:p>
        </w:tc>
        <w:tc>
          <w:tcPr>
            <w:cnfStyle w:val="000100000000" w:firstRow="0" w:lastRow="0" w:firstColumn="0" w:lastColumn="1" w:oddVBand="0" w:evenVBand="0" w:oddHBand="0" w:evenHBand="0" w:firstRowFirstColumn="0" w:firstRowLastColumn="0" w:lastRowFirstColumn="0" w:lastRowLastColumn="0"/>
            <w:tcW w:w="3516" w:type="dxa"/>
          </w:tcPr>
          <w:p w14:paraId="730D337F" w14:textId="77777777" w:rsidR="00BA1F82" w:rsidRPr="00C0352B" w:rsidRDefault="0043143B" w:rsidP="00BA1F82">
            <w:pPr>
              <w:spacing w:before="100" w:beforeAutospacing="1" w:after="100" w:afterAutospacing="1"/>
              <w:jc w:val="right"/>
              <w:rPr>
                <w:b w:val="0"/>
              </w:rPr>
            </w:pPr>
            <w:r>
              <w:rPr>
                <w:b w:val="0"/>
              </w:rPr>
              <w:t>8</w:t>
            </w:r>
          </w:p>
        </w:tc>
      </w:tr>
      <w:tr w:rsidR="00BA1F82" w14:paraId="203212F0" w14:textId="77777777" w:rsidTr="00B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58162C98" w14:textId="77777777" w:rsidR="00BA1F82" w:rsidRPr="005856D5" w:rsidRDefault="00BA1F82" w:rsidP="00BA1F82">
            <w:pPr>
              <w:spacing w:before="100" w:beforeAutospacing="1" w:after="100" w:afterAutospacing="1"/>
              <w:rPr>
                <w:b w:val="0"/>
              </w:rPr>
            </w:pPr>
            <w:r w:rsidRPr="005856D5">
              <w:rPr>
                <w:b w:val="0"/>
                <w:color w:val="000000"/>
              </w:rPr>
              <w:t>Missing Information</w:t>
            </w:r>
          </w:p>
        </w:tc>
        <w:tc>
          <w:tcPr>
            <w:cnfStyle w:val="000100000000" w:firstRow="0" w:lastRow="0" w:firstColumn="0" w:lastColumn="1" w:oddVBand="0" w:evenVBand="0" w:oddHBand="0" w:evenHBand="0" w:firstRowFirstColumn="0" w:firstRowLastColumn="0" w:lastRowFirstColumn="0" w:lastRowLastColumn="0"/>
            <w:tcW w:w="3516" w:type="dxa"/>
          </w:tcPr>
          <w:p w14:paraId="65B9B3C2" w14:textId="77777777" w:rsidR="00BA1F82" w:rsidRPr="00C0352B" w:rsidRDefault="0043143B" w:rsidP="00BA1F82">
            <w:pPr>
              <w:spacing w:before="100" w:beforeAutospacing="1" w:after="100" w:afterAutospacing="1"/>
              <w:jc w:val="right"/>
              <w:rPr>
                <w:b w:val="0"/>
              </w:rPr>
            </w:pPr>
            <w:r>
              <w:rPr>
                <w:b w:val="0"/>
              </w:rPr>
              <w:t>194</w:t>
            </w:r>
          </w:p>
        </w:tc>
      </w:tr>
      <w:tr w:rsidR="00BA1F82" w14:paraId="44CD79C0" w14:textId="77777777" w:rsidTr="00BA1F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3C0D4586" w14:textId="77777777" w:rsidR="00BA1F82" w:rsidRPr="005856D5" w:rsidRDefault="00BA1F82" w:rsidP="00BA1F82">
            <w:pPr>
              <w:spacing w:before="100" w:beforeAutospacing="1" w:after="100" w:afterAutospacing="1"/>
            </w:pPr>
            <w:r w:rsidRPr="005856D5">
              <w:rPr>
                <w:color w:val="000000"/>
              </w:rPr>
              <w:t>Total</w:t>
            </w:r>
          </w:p>
        </w:tc>
        <w:tc>
          <w:tcPr>
            <w:cnfStyle w:val="000100000000" w:firstRow="0" w:lastRow="0" w:firstColumn="0" w:lastColumn="1" w:oddVBand="0" w:evenVBand="0" w:oddHBand="0" w:evenHBand="0" w:firstRowFirstColumn="0" w:firstRowLastColumn="0" w:lastRowFirstColumn="0" w:lastRowLastColumn="0"/>
            <w:tcW w:w="3516" w:type="dxa"/>
          </w:tcPr>
          <w:p w14:paraId="6430F254" w14:textId="77777777" w:rsidR="00BA1F82" w:rsidRPr="00C0352B" w:rsidRDefault="0043143B" w:rsidP="00BA1F82">
            <w:pPr>
              <w:spacing w:before="100" w:beforeAutospacing="1" w:after="100" w:afterAutospacing="1"/>
              <w:jc w:val="right"/>
            </w:pPr>
            <w:r>
              <w:t>10,672</w:t>
            </w:r>
          </w:p>
        </w:tc>
      </w:tr>
    </w:tbl>
    <w:p w14:paraId="19C4908C" w14:textId="77777777" w:rsidR="005856D5" w:rsidRDefault="005856D5" w:rsidP="00BA1F82">
      <w:pPr>
        <w:keepNext/>
        <w:widowControl w:val="0"/>
        <w:rPr>
          <w:b/>
          <w:szCs w:val="24"/>
        </w:rPr>
      </w:pPr>
      <w:r>
        <w:rPr>
          <w:b/>
          <w:szCs w:val="24"/>
        </w:rPr>
        <w:t>5. Gender—Complete for All Activities</w:t>
      </w:r>
    </w:p>
    <w:p w14:paraId="24E9FD83" w14:textId="77777777" w:rsidR="00BA1F82" w:rsidRDefault="00BA1F82" w:rsidP="00FA5833">
      <w:pPr>
        <w:pStyle w:val="Caption"/>
        <w:ind w:left="3600"/>
        <w:rPr>
          <w:rFonts w:ascii="Arial" w:hAnsi="Arial" w:cs="Arial"/>
          <w:sz w:val="16"/>
        </w:rPr>
      </w:pPr>
    </w:p>
    <w:p w14:paraId="3FAF5C56" w14:textId="77777777" w:rsidR="00BA1F82" w:rsidRDefault="00BA1F82" w:rsidP="00FA5833">
      <w:pPr>
        <w:pStyle w:val="Caption"/>
        <w:ind w:left="3600"/>
        <w:rPr>
          <w:rFonts w:ascii="Arial" w:hAnsi="Arial" w:cs="Arial"/>
          <w:sz w:val="16"/>
        </w:rPr>
      </w:pPr>
    </w:p>
    <w:p w14:paraId="45762F9A" w14:textId="77777777" w:rsidR="00BA1F82" w:rsidRDefault="00BA1F82" w:rsidP="00FA5833">
      <w:pPr>
        <w:pStyle w:val="Caption"/>
        <w:ind w:left="3600"/>
        <w:rPr>
          <w:rFonts w:ascii="Arial" w:hAnsi="Arial" w:cs="Arial"/>
          <w:sz w:val="16"/>
        </w:rPr>
      </w:pPr>
    </w:p>
    <w:p w14:paraId="620CF10C" w14:textId="77777777" w:rsidR="00BA1F82" w:rsidRDefault="00BA1F82" w:rsidP="00FA5833">
      <w:pPr>
        <w:pStyle w:val="Caption"/>
        <w:ind w:left="3600"/>
        <w:rPr>
          <w:rFonts w:ascii="Arial" w:hAnsi="Arial" w:cs="Arial"/>
          <w:sz w:val="16"/>
        </w:rPr>
      </w:pPr>
    </w:p>
    <w:p w14:paraId="25884BDA" w14:textId="77777777" w:rsidR="00BA1F82" w:rsidRDefault="00BA1F82" w:rsidP="00FA5833">
      <w:pPr>
        <w:pStyle w:val="Caption"/>
        <w:ind w:left="3600"/>
        <w:rPr>
          <w:rFonts w:ascii="Arial" w:hAnsi="Arial" w:cs="Arial"/>
          <w:sz w:val="16"/>
        </w:rPr>
      </w:pPr>
    </w:p>
    <w:p w14:paraId="78D2B2A6" w14:textId="77777777" w:rsidR="00BA1F82" w:rsidRDefault="00BA1F82" w:rsidP="00FA5833">
      <w:pPr>
        <w:pStyle w:val="Caption"/>
        <w:ind w:left="3600"/>
        <w:rPr>
          <w:rFonts w:ascii="Arial" w:hAnsi="Arial" w:cs="Arial"/>
          <w:sz w:val="16"/>
        </w:rPr>
      </w:pPr>
    </w:p>
    <w:p w14:paraId="461C7CF2" w14:textId="77777777" w:rsidR="00BA1F82" w:rsidRDefault="00BA1F82" w:rsidP="00FA5833">
      <w:pPr>
        <w:pStyle w:val="Caption"/>
        <w:ind w:left="3600"/>
        <w:rPr>
          <w:rFonts w:ascii="Arial" w:hAnsi="Arial" w:cs="Arial"/>
          <w:sz w:val="16"/>
        </w:rPr>
      </w:pPr>
    </w:p>
    <w:p w14:paraId="4DF22675" w14:textId="77777777" w:rsidR="00BA1F82" w:rsidRDefault="00BA1F82" w:rsidP="00FA5833">
      <w:pPr>
        <w:pStyle w:val="Caption"/>
        <w:ind w:left="3600"/>
        <w:rPr>
          <w:rFonts w:ascii="Arial" w:hAnsi="Arial" w:cs="Arial"/>
          <w:sz w:val="16"/>
        </w:rPr>
      </w:pPr>
    </w:p>
    <w:p w14:paraId="5DBA2879" w14:textId="77777777" w:rsidR="00BA1F82" w:rsidRDefault="00BA1F82" w:rsidP="00FA5833">
      <w:pPr>
        <w:pStyle w:val="Caption"/>
        <w:ind w:left="3600"/>
        <w:rPr>
          <w:rFonts w:ascii="Arial" w:hAnsi="Arial" w:cs="Arial"/>
          <w:sz w:val="16"/>
        </w:rPr>
      </w:pPr>
    </w:p>
    <w:p w14:paraId="49AF9F38" w14:textId="77777777" w:rsidR="00BA1F82" w:rsidRDefault="00BA1F82" w:rsidP="00FA5833">
      <w:pPr>
        <w:pStyle w:val="Caption"/>
        <w:ind w:left="3600"/>
        <w:rPr>
          <w:rFonts w:ascii="Arial" w:hAnsi="Arial" w:cs="Arial"/>
          <w:sz w:val="16"/>
        </w:rPr>
      </w:pPr>
    </w:p>
    <w:p w14:paraId="717C0B72" w14:textId="77777777" w:rsidR="00BA1F82" w:rsidRDefault="00BA1F82" w:rsidP="00FA5833">
      <w:pPr>
        <w:pStyle w:val="Caption"/>
        <w:ind w:left="3600"/>
        <w:rPr>
          <w:rFonts w:ascii="Arial" w:hAnsi="Arial" w:cs="Arial"/>
          <w:sz w:val="16"/>
        </w:rPr>
      </w:pPr>
    </w:p>
    <w:p w14:paraId="3ED00807" w14:textId="77777777" w:rsidR="005856D5" w:rsidRDefault="005856D5" w:rsidP="00BA1F82">
      <w:pPr>
        <w:pStyle w:val="Caption"/>
        <w:ind w:left="2880"/>
        <w:rPr>
          <w:rFonts w:ascii="Arial" w:hAnsi="Arial" w:cs="Arial"/>
          <w:sz w:val="16"/>
        </w:rPr>
      </w:pPr>
      <w:r w:rsidRPr="005856D5">
        <w:rPr>
          <w:rFonts w:ascii="Arial" w:hAnsi="Arial" w:cs="Arial"/>
          <w:sz w:val="16"/>
        </w:rPr>
        <w:t xml:space="preserve">Table </w:t>
      </w:r>
      <w:r w:rsidRPr="005856D5">
        <w:rPr>
          <w:rFonts w:ascii="Arial" w:hAnsi="Arial" w:cs="Arial"/>
          <w:sz w:val="16"/>
        </w:rPr>
        <w:fldChar w:fldCharType="begin"/>
      </w:r>
      <w:r w:rsidRPr="005856D5">
        <w:rPr>
          <w:rFonts w:ascii="Arial" w:hAnsi="Arial" w:cs="Arial"/>
          <w:sz w:val="16"/>
        </w:rPr>
        <w:instrText xml:space="preserve"> SEQ Table \* ARABIC </w:instrText>
      </w:r>
      <w:r w:rsidRPr="005856D5">
        <w:rPr>
          <w:rFonts w:ascii="Arial" w:hAnsi="Arial" w:cs="Arial"/>
          <w:sz w:val="16"/>
        </w:rPr>
        <w:fldChar w:fldCharType="separate"/>
      </w:r>
      <w:r w:rsidR="00AA534C">
        <w:rPr>
          <w:rFonts w:ascii="Arial" w:hAnsi="Arial" w:cs="Arial"/>
          <w:noProof/>
          <w:sz w:val="16"/>
        </w:rPr>
        <w:t>16</w:t>
      </w:r>
      <w:r w:rsidRPr="005856D5">
        <w:rPr>
          <w:rFonts w:ascii="Arial" w:hAnsi="Arial" w:cs="Arial"/>
          <w:sz w:val="16"/>
        </w:rPr>
        <w:fldChar w:fldCharType="end"/>
      </w:r>
      <w:r w:rsidRPr="005856D5">
        <w:rPr>
          <w:rFonts w:ascii="Arial" w:hAnsi="Arial" w:cs="Arial"/>
          <w:sz w:val="16"/>
        </w:rPr>
        <w:t xml:space="preserve"> - Gender Information</w:t>
      </w:r>
    </w:p>
    <w:p w14:paraId="4DD0D8DF" w14:textId="77777777" w:rsidR="005856D5" w:rsidRDefault="005856D5" w:rsidP="005856D5"/>
    <w:p w14:paraId="601CC52B" w14:textId="77777777" w:rsidR="00BA1F82" w:rsidRDefault="00BA1F82">
      <w:pPr>
        <w:rPr>
          <w:b/>
        </w:rPr>
      </w:pPr>
      <w:r>
        <w:rPr>
          <w:b/>
        </w:rPr>
        <w:br w:type="page"/>
      </w:r>
    </w:p>
    <w:p w14:paraId="4AC4DA83" w14:textId="77777777" w:rsidR="00FA5833" w:rsidRDefault="00FA5833" w:rsidP="00BA1F82">
      <w:pPr>
        <w:rPr>
          <w:b/>
        </w:rPr>
      </w:pPr>
      <w:r w:rsidRPr="00FA5833">
        <w:rPr>
          <w:b/>
        </w:rPr>
        <w:lastRenderedPageBreak/>
        <w:t xml:space="preserve">6. Age – Complete All Activities </w:t>
      </w:r>
    </w:p>
    <w:tbl>
      <w:tblPr>
        <w:tblStyle w:val="GridTable4-Accent3"/>
        <w:tblpPr w:leftFromText="180" w:rightFromText="180" w:vertAnchor="text" w:horzAnchor="margin" w:tblpY="41"/>
        <w:tblW w:w="2816" w:type="pct"/>
        <w:tblLayout w:type="fixed"/>
        <w:tblLook w:val="01E0" w:firstRow="1" w:lastRow="1" w:firstColumn="1" w:lastColumn="1" w:noHBand="0" w:noVBand="0"/>
      </w:tblPr>
      <w:tblGrid>
        <w:gridCol w:w="4588"/>
        <w:gridCol w:w="3516"/>
      </w:tblGrid>
      <w:tr w:rsidR="00BA1F82" w14:paraId="7FC394B4" w14:textId="77777777" w:rsidTr="00444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7CFFAFE6" w14:textId="77777777" w:rsidR="00BA1F82" w:rsidRDefault="00BA1F82" w:rsidP="00444036">
            <w:pPr>
              <w:keepNext/>
              <w:widowControl w:val="0"/>
              <w:rPr>
                <w:b w:val="0"/>
              </w:rPr>
            </w:pPr>
          </w:p>
        </w:tc>
        <w:tc>
          <w:tcPr>
            <w:cnfStyle w:val="000100000000" w:firstRow="0" w:lastRow="0" w:firstColumn="0" w:lastColumn="1" w:oddVBand="0" w:evenVBand="0" w:oddHBand="0" w:evenHBand="0" w:firstRowFirstColumn="0" w:firstRowLastColumn="0" w:lastRowFirstColumn="0" w:lastRowLastColumn="0"/>
            <w:tcW w:w="3516" w:type="dxa"/>
          </w:tcPr>
          <w:p w14:paraId="780C025D" w14:textId="77777777" w:rsidR="00BA1F82" w:rsidRPr="00FA5833" w:rsidRDefault="00BA1F82" w:rsidP="00444036">
            <w:pPr>
              <w:pStyle w:val="NoSpacing"/>
              <w:keepNext/>
              <w:jc w:val="center"/>
              <w:rPr>
                <w:rFonts w:ascii="Arial" w:hAnsi="Arial" w:cs="Arial"/>
              </w:rPr>
            </w:pPr>
            <w:r w:rsidRPr="00FA5833">
              <w:rPr>
                <w:rFonts w:ascii="Arial" w:hAnsi="Arial" w:cs="Arial"/>
              </w:rPr>
              <w:t>Total</w:t>
            </w:r>
          </w:p>
        </w:tc>
      </w:tr>
      <w:tr w:rsidR="00BA1F82" w14:paraId="6EF485B7" w14:textId="77777777" w:rsidTr="0044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0D2CC564" w14:textId="77777777" w:rsidR="00BA1F82" w:rsidRPr="00FA5833" w:rsidRDefault="00BA1F82" w:rsidP="00444036">
            <w:pPr>
              <w:spacing w:before="100" w:beforeAutospacing="1" w:after="100" w:afterAutospacing="1"/>
              <w:rPr>
                <w:b w:val="0"/>
              </w:rPr>
            </w:pPr>
            <w:r w:rsidRPr="00FA5833">
              <w:rPr>
                <w:b w:val="0"/>
                <w:color w:val="000000"/>
              </w:rPr>
              <w:t>Under 18</w:t>
            </w:r>
          </w:p>
        </w:tc>
        <w:tc>
          <w:tcPr>
            <w:cnfStyle w:val="000100000000" w:firstRow="0" w:lastRow="0" w:firstColumn="0" w:lastColumn="1" w:oddVBand="0" w:evenVBand="0" w:oddHBand="0" w:evenHBand="0" w:firstRowFirstColumn="0" w:firstRowLastColumn="0" w:lastRowFirstColumn="0" w:lastRowLastColumn="0"/>
            <w:tcW w:w="3516" w:type="dxa"/>
          </w:tcPr>
          <w:p w14:paraId="099D3485" w14:textId="77777777" w:rsidR="00BA1F82" w:rsidRPr="00C0352B" w:rsidRDefault="0043143B" w:rsidP="00444036">
            <w:pPr>
              <w:spacing w:before="100" w:beforeAutospacing="1" w:after="100" w:afterAutospacing="1"/>
              <w:jc w:val="right"/>
              <w:rPr>
                <w:b w:val="0"/>
              </w:rPr>
            </w:pPr>
            <w:r>
              <w:rPr>
                <w:b w:val="0"/>
              </w:rPr>
              <w:t>3,004</w:t>
            </w:r>
          </w:p>
        </w:tc>
      </w:tr>
      <w:tr w:rsidR="00BA1F82" w14:paraId="5082003B" w14:textId="77777777" w:rsidTr="00444036">
        <w:tc>
          <w:tcPr>
            <w:cnfStyle w:val="001000000000" w:firstRow="0" w:lastRow="0" w:firstColumn="1" w:lastColumn="0" w:oddVBand="0" w:evenVBand="0" w:oddHBand="0" w:evenHBand="0" w:firstRowFirstColumn="0" w:firstRowLastColumn="0" w:lastRowFirstColumn="0" w:lastRowLastColumn="0"/>
            <w:tcW w:w="4588" w:type="dxa"/>
          </w:tcPr>
          <w:p w14:paraId="35BAAE8C" w14:textId="77777777" w:rsidR="00BA1F82" w:rsidRPr="00FA5833" w:rsidRDefault="00BA1F82" w:rsidP="00444036">
            <w:pPr>
              <w:spacing w:before="100" w:beforeAutospacing="1" w:after="100" w:afterAutospacing="1"/>
              <w:rPr>
                <w:b w:val="0"/>
              </w:rPr>
            </w:pPr>
            <w:r w:rsidRPr="00FA5833">
              <w:rPr>
                <w:b w:val="0"/>
                <w:color w:val="000000"/>
              </w:rPr>
              <w:t>18-24</w:t>
            </w:r>
          </w:p>
        </w:tc>
        <w:tc>
          <w:tcPr>
            <w:cnfStyle w:val="000100000000" w:firstRow="0" w:lastRow="0" w:firstColumn="0" w:lastColumn="1" w:oddVBand="0" w:evenVBand="0" w:oddHBand="0" w:evenHBand="0" w:firstRowFirstColumn="0" w:firstRowLastColumn="0" w:lastRowFirstColumn="0" w:lastRowLastColumn="0"/>
            <w:tcW w:w="3516" w:type="dxa"/>
            <w:vAlign w:val="center"/>
          </w:tcPr>
          <w:p w14:paraId="55C70E72" w14:textId="77777777" w:rsidR="00BA1F82" w:rsidRPr="00C0352B" w:rsidRDefault="0043143B" w:rsidP="00444036">
            <w:pPr>
              <w:spacing w:before="100" w:beforeAutospacing="1" w:after="100" w:afterAutospacing="1"/>
              <w:jc w:val="right"/>
              <w:rPr>
                <w:b w:val="0"/>
              </w:rPr>
            </w:pPr>
            <w:r>
              <w:rPr>
                <w:b w:val="0"/>
              </w:rPr>
              <w:t>1,118</w:t>
            </w:r>
          </w:p>
        </w:tc>
      </w:tr>
      <w:tr w:rsidR="00BA1F82" w14:paraId="006C204A" w14:textId="77777777" w:rsidTr="0044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264FC8F4" w14:textId="77777777" w:rsidR="00BA1F82" w:rsidRPr="00FA5833" w:rsidRDefault="00BA1F82" w:rsidP="00444036">
            <w:pPr>
              <w:spacing w:before="100" w:beforeAutospacing="1" w:after="100" w:afterAutospacing="1"/>
              <w:rPr>
                <w:b w:val="0"/>
              </w:rPr>
            </w:pPr>
            <w:r w:rsidRPr="00FA5833">
              <w:rPr>
                <w:b w:val="0"/>
                <w:color w:val="000000"/>
              </w:rPr>
              <w:t>25 and over</w:t>
            </w:r>
          </w:p>
        </w:tc>
        <w:tc>
          <w:tcPr>
            <w:cnfStyle w:val="000100000000" w:firstRow="0" w:lastRow="0" w:firstColumn="0" w:lastColumn="1" w:oddVBand="0" w:evenVBand="0" w:oddHBand="0" w:evenHBand="0" w:firstRowFirstColumn="0" w:firstRowLastColumn="0" w:lastRowFirstColumn="0" w:lastRowLastColumn="0"/>
            <w:tcW w:w="3516" w:type="dxa"/>
          </w:tcPr>
          <w:p w14:paraId="5DDCF33C" w14:textId="77777777" w:rsidR="00BA1F82" w:rsidRPr="00C0352B" w:rsidRDefault="0043143B" w:rsidP="00444036">
            <w:pPr>
              <w:spacing w:before="100" w:beforeAutospacing="1" w:after="100" w:afterAutospacing="1"/>
              <w:jc w:val="right"/>
              <w:rPr>
                <w:b w:val="0"/>
              </w:rPr>
            </w:pPr>
            <w:r>
              <w:rPr>
                <w:b w:val="0"/>
              </w:rPr>
              <w:t>9,549</w:t>
            </w:r>
          </w:p>
        </w:tc>
      </w:tr>
      <w:tr w:rsidR="00BA1F82" w14:paraId="7D211CB5" w14:textId="77777777" w:rsidTr="00444036">
        <w:tc>
          <w:tcPr>
            <w:cnfStyle w:val="001000000000" w:firstRow="0" w:lastRow="0" w:firstColumn="1" w:lastColumn="0" w:oddVBand="0" w:evenVBand="0" w:oddHBand="0" w:evenHBand="0" w:firstRowFirstColumn="0" w:firstRowLastColumn="0" w:lastRowFirstColumn="0" w:lastRowLastColumn="0"/>
            <w:tcW w:w="4588" w:type="dxa"/>
          </w:tcPr>
          <w:p w14:paraId="4F1F620A" w14:textId="77777777" w:rsidR="00BA1F82" w:rsidRPr="00FA5833" w:rsidRDefault="00BA1F82" w:rsidP="00444036">
            <w:pPr>
              <w:spacing w:before="100" w:beforeAutospacing="1" w:after="100" w:afterAutospacing="1"/>
              <w:rPr>
                <w:b w:val="0"/>
              </w:rPr>
            </w:pPr>
            <w:r w:rsidRPr="00FA5833">
              <w:rPr>
                <w:b w:val="0"/>
                <w:color w:val="000000"/>
              </w:rPr>
              <w:t>Don't Know/Refused/Other</w:t>
            </w:r>
          </w:p>
        </w:tc>
        <w:tc>
          <w:tcPr>
            <w:cnfStyle w:val="000100000000" w:firstRow="0" w:lastRow="0" w:firstColumn="0" w:lastColumn="1" w:oddVBand="0" w:evenVBand="0" w:oddHBand="0" w:evenHBand="0" w:firstRowFirstColumn="0" w:firstRowLastColumn="0" w:lastRowFirstColumn="0" w:lastRowLastColumn="0"/>
            <w:tcW w:w="3516" w:type="dxa"/>
            <w:vAlign w:val="center"/>
          </w:tcPr>
          <w:p w14:paraId="02010B74" w14:textId="77777777" w:rsidR="00BA1F82" w:rsidRPr="00C0352B" w:rsidRDefault="0043143B" w:rsidP="00444036">
            <w:pPr>
              <w:spacing w:before="100" w:beforeAutospacing="1" w:after="100" w:afterAutospacing="1"/>
              <w:jc w:val="right"/>
              <w:rPr>
                <w:b w:val="0"/>
              </w:rPr>
            </w:pPr>
            <w:r>
              <w:rPr>
                <w:b w:val="0"/>
              </w:rPr>
              <w:t>12</w:t>
            </w:r>
          </w:p>
        </w:tc>
      </w:tr>
      <w:tr w:rsidR="00BA1F82" w14:paraId="6DCF40D3" w14:textId="77777777" w:rsidTr="0044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7A57351A" w14:textId="77777777" w:rsidR="00BA1F82" w:rsidRPr="00FA5833" w:rsidRDefault="00BA1F82" w:rsidP="00444036">
            <w:pPr>
              <w:spacing w:before="100" w:beforeAutospacing="1" w:after="100" w:afterAutospacing="1"/>
              <w:rPr>
                <w:b w:val="0"/>
              </w:rPr>
            </w:pPr>
            <w:r w:rsidRPr="00FA5833">
              <w:rPr>
                <w:b w:val="0"/>
                <w:color w:val="000000"/>
              </w:rPr>
              <w:t>Missing Information</w:t>
            </w:r>
          </w:p>
        </w:tc>
        <w:tc>
          <w:tcPr>
            <w:cnfStyle w:val="000100000000" w:firstRow="0" w:lastRow="0" w:firstColumn="0" w:lastColumn="1" w:oddVBand="0" w:evenVBand="0" w:oddHBand="0" w:evenHBand="0" w:firstRowFirstColumn="0" w:firstRowLastColumn="0" w:lastRowFirstColumn="0" w:lastRowLastColumn="0"/>
            <w:tcW w:w="3516" w:type="dxa"/>
          </w:tcPr>
          <w:p w14:paraId="7E9D2632" w14:textId="77777777" w:rsidR="00BA1F82" w:rsidRPr="00C0352B" w:rsidRDefault="0043143B" w:rsidP="00444036">
            <w:pPr>
              <w:spacing w:before="100" w:beforeAutospacing="1" w:after="100" w:afterAutospacing="1"/>
              <w:jc w:val="right"/>
              <w:rPr>
                <w:b w:val="0"/>
              </w:rPr>
            </w:pPr>
            <w:r>
              <w:rPr>
                <w:b w:val="0"/>
              </w:rPr>
              <w:t>83</w:t>
            </w:r>
          </w:p>
        </w:tc>
      </w:tr>
      <w:tr w:rsidR="00BA1F82" w14:paraId="3ABE33F9" w14:textId="77777777" w:rsidTr="004440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8" w:type="dxa"/>
          </w:tcPr>
          <w:p w14:paraId="42F6D7D0" w14:textId="77777777" w:rsidR="00BA1F82" w:rsidRPr="00FA5833" w:rsidRDefault="00BA1F82" w:rsidP="00444036">
            <w:pPr>
              <w:spacing w:before="100" w:beforeAutospacing="1" w:after="100" w:afterAutospacing="1"/>
            </w:pPr>
            <w:r w:rsidRPr="00FA5833">
              <w:rPr>
                <w:color w:val="000000"/>
              </w:rPr>
              <w:t>Total</w:t>
            </w:r>
          </w:p>
        </w:tc>
        <w:tc>
          <w:tcPr>
            <w:cnfStyle w:val="000100000000" w:firstRow="0" w:lastRow="0" w:firstColumn="0" w:lastColumn="1" w:oddVBand="0" w:evenVBand="0" w:oddHBand="0" w:evenHBand="0" w:firstRowFirstColumn="0" w:firstRowLastColumn="0" w:lastRowFirstColumn="0" w:lastRowLastColumn="0"/>
            <w:tcW w:w="3516" w:type="dxa"/>
          </w:tcPr>
          <w:p w14:paraId="12C21577" w14:textId="77777777" w:rsidR="00BA1F82" w:rsidRPr="00C0352B" w:rsidRDefault="0043143B" w:rsidP="00444036">
            <w:pPr>
              <w:spacing w:before="100" w:beforeAutospacing="1" w:after="100" w:afterAutospacing="1"/>
              <w:jc w:val="right"/>
            </w:pPr>
            <w:r>
              <w:t>13,766</w:t>
            </w:r>
          </w:p>
        </w:tc>
      </w:tr>
    </w:tbl>
    <w:p w14:paraId="2DDCA4B6" w14:textId="77777777" w:rsidR="00BA1F82" w:rsidRDefault="00BA1F82" w:rsidP="00BA1F82">
      <w:pPr>
        <w:rPr>
          <w:b/>
        </w:rPr>
      </w:pPr>
    </w:p>
    <w:p w14:paraId="04A79803" w14:textId="77777777" w:rsidR="00FA5833" w:rsidRDefault="00FA5833" w:rsidP="00FA5833">
      <w:pPr>
        <w:spacing w:line="240" w:lineRule="auto"/>
        <w:ind w:left="2160"/>
        <w:rPr>
          <w:b/>
        </w:rPr>
      </w:pPr>
    </w:p>
    <w:p w14:paraId="2C7F5FEA" w14:textId="77777777" w:rsidR="00FA5833" w:rsidRDefault="00FA5833" w:rsidP="00FA5833">
      <w:pPr>
        <w:spacing w:line="240" w:lineRule="auto"/>
        <w:ind w:left="2160"/>
        <w:rPr>
          <w:b/>
        </w:rPr>
      </w:pPr>
    </w:p>
    <w:p w14:paraId="2D8F7005" w14:textId="77777777" w:rsidR="00FA5833" w:rsidRDefault="00FA5833" w:rsidP="00FA5833">
      <w:pPr>
        <w:spacing w:line="240" w:lineRule="auto"/>
        <w:ind w:left="2160"/>
        <w:rPr>
          <w:b/>
        </w:rPr>
      </w:pPr>
    </w:p>
    <w:p w14:paraId="72C94BC0" w14:textId="77777777" w:rsidR="00FA5833" w:rsidRDefault="00FA5833" w:rsidP="00FA5833">
      <w:pPr>
        <w:spacing w:line="240" w:lineRule="auto"/>
        <w:ind w:left="2160"/>
        <w:rPr>
          <w:b/>
        </w:rPr>
      </w:pPr>
    </w:p>
    <w:p w14:paraId="2F6C0015" w14:textId="77777777" w:rsidR="00FA5833" w:rsidRPr="00FA5833" w:rsidRDefault="00FA5833" w:rsidP="00BA1F82">
      <w:pPr>
        <w:pStyle w:val="Caption"/>
        <w:ind w:left="2160" w:firstLine="720"/>
        <w:rPr>
          <w:rFonts w:ascii="Arial" w:hAnsi="Arial" w:cs="Arial"/>
          <w:sz w:val="16"/>
        </w:rPr>
      </w:pPr>
      <w:r w:rsidRPr="00FA5833">
        <w:rPr>
          <w:rFonts w:ascii="Arial" w:hAnsi="Arial" w:cs="Arial"/>
          <w:sz w:val="16"/>
        </w:rPr>
        <w:t xml:space="preserve">Table </w:t>
      </w:r>
      <w:r w:rsidRPr="00FA5833">
        <w:rPr>
          <w:rFonts w:ascii="Arial" w:hAnsi="Arial" w:cs="Arial"/>
          <w:sz w:val="16"/>
        </w:rPr>
        <w:fldChar w:fldCharType="begin"/>
      </w:r>
      <w:r w:rsidRPr="00FA5833">
        <w:rPr>
          <w:rFonts w:ascii="Arial" w:hAnsi="Arial" w:cs="Arial"/>
          <w:sz w:val="16"/>
        </w:rPr>
        <w:instrText xml:space="preserve"> SEQ Table \* ARABIC </w:instrText>
      </w:r>
      <w:r w:rsidRPr="00FA5833">
        <w:rPr>
          <w:rFonts w:ascii="Arial" w:hAnsi="Arial" w:cs="Arial"/>
          <w:sz w:val="16"/>
        </w:rPr>
        <w:fldChar w:fldCharType="separate"/>
      </w:r>
      <w:r w:rsidR="00AA534C">
        <w:rPr>
          <w:rFonts w:ascii="Arial" w:hAnsi="Arial" w:cs="Arial"/>
          <w:noProof/>
          <w:sz w:val="16"/>
        </w:rPr>
        <w:t>17</w:t>
      </w:r>
      <w:r w:rsidRPr="00FA5833">
        <w:rPr>
          <w:rFonts w:ascii="Arial" w:hAnsi="Arial" w:cs="Arial"/>
          <w:sz w:val="16"/>
        </w:rPr>
        <w:fldChar w:fldCharType="end"/>
      </w:r>
      <w:r w:rsidRPr="00FA5833">
        <w:rPr>
          <w:rFonts w:ascii="Arial" w:hAnsi="Arial" w:cs="Arial"/>
          <w:sz w:val="16"/>
        </w:rPr>
        <w:t xml:space="preserve"> – Age Information</w:t>
      </w:r>
    </w:p>
    <w:p w14:paraId="5D4BFEDE" w14:textId="77777777" w:rsidR="005856D5" w:rsidRDefault="005856D5" w:rsidP="005856D5">
      <w:pPr>
        <w:widowControl w:val="0"/>
        <w:rPr>
          <w:b/>
          <w:szCs w:val="24"/>
        </w:rPr>
      </w:pPr>
    </w:p>
    <w:p w14:paraId="477D714D" w14:textId="77777777" w:rsidR="00FA5833" w:rsidRDefault="00FA5833" w:rsidP="00BA1F82">
      <w:pPr>
        <w:keepNext/>
        <w:widowControl w:val="0"/>
        <w:rPr>
          <w:b/>
          <w:szCs w:val="24"/>
        </w:rPr>
      </w:pPr>
      <w:r>
        <w:rPr>
          <w:b/>
          <w:szCs w:val="24"/>
        </w:rPr>
        <w:t>7. Special Populations Served—Complete for All Activities</w:t>
      </w:r>
    </w:p>
    <w:p w14:paraId="32706AF8" w14:textId="77777777" w:rsidR="00FA5833" w:rsidRDefault="00FA5833" w:rsidP="00FA5833">
      <w:pPr>
        <w:keepNext/>
        <w:widowControl w:val="0"/>
        <w:spacing w:after="0" w:line="240" w:lineRule="auto"/>
        <w:jc w:val="center"/>
        <w:rPr>
          <w:b/>
          <w:szCs w:val="24"/>
        </w:rPr>
      </w:pPr>
      <w:r>
        <w:rPr>
          <w:b/>
          <w:szCs w:val="24"/>
        </w:rPr>
        <w:t>Number of Persons in Households</w:t>
      </w:r>
    </w:p>
    <w:tbl>
      <w:tblPr>
        <w:tblStyle w:val="GridTable4-Accent3"/>
        <w:tblW w:w="5000" w:type="pct"/>
        <w:tblLayout w:type="fixed"/>
        <w:tblLook w:val="01E0" w:firstRow="1" w:lastRow="1" w:firstColumn="1" w:lastColumn="1" w:noHBand="0" w:noVBand="0"/>
      </w:tblPr>
      <w:tblGrid>
        <w:gridCol w:w="3242"/>
        <w:gridCol w:w="2609"/>
        <w:gridCol w:w="2845"/>
        <w:gridCol w:w="2863"/>
        <w:gridCol w:w="2831"/>
      </w:tblGrid>
      <w:tr w:rsidR="00FA5833" w14:paraId="50348082" w14:textId="77777777" w:rsidTr="00BA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Borders>
              <w:top w:val="single" w:sz="4" w:space="0" w:color="auto"/>
              <w:left w:val="single" w:sz="4" w:space="0" w:color="auto"/>
              <w:bottom w:val="single" w:sz="4" w:space="0" w:color="auto"/>
              <w:right w:val="single" w:sz="4" w:space="0" w:color="auto"/>
            </w:tcBorders>
            <w:vAlign w:val="center"/>
          </w:tcPr>
          <w:p w14:paraId="1DC47753" w14:textId="77777777" w:rsidR="00FA5833" w:rsidRPr="00FA5833" w:rsidRDefault="00FA5833" w:rsidP="00FA5833">
            <w:pPr>
              <w:keepNext/>
              <w:ind w:right="432"/>
              <w:jc w:val="center"/>
            </w:pPr>
            <w:r w:rsidRPr="00FA5833">
              <w:t>Subpopulation</w:t>
            </w:r>
          </w:p>
        </w:tc>
        <w:tc>
          <w:tcPr>
            <w:cnfStyle w:val="000010000000" w:firstRow="0" w:lastRow="0" w:firstColumn="0" w:lastColumn="0" w:oddVBand="1" w:evenVBand="0" w:oddHBand="0" w:evenHBand="0" w:firstRowFirstColumn="0" w:firstRowLastColumn="0" w:lastRowFirstColumn="0" w:lastRowLastColumn="0"/>
            <w:tcW w:w="2609" w:type="dxa"/>
            <w:tcBorders>
              <w:top w:val="single" w:sz="4" w:space="0" w:color="auto"/>
              <w:left w:val="single" w:sz="4" w:space="0" w:color="auto"/>
              <w:bottom w:val="single" w:sz="4" w:space="0" w:color="auto"/>
              <w:right w:val="single" w:sz="4" w:space="0" w:color="auto"/>
            </w:tcBorders>
            <w:vAlign w:val="center"/>
          </w:tcPr>
          <w:p w14:paraId="15226CB8" w14:textId="77777777" w:rsidR="00FA5833" w:rsidRPr="00FA5833" w:rsidRDefault="00FA5833" w:rsidP="00FA5833">
            <w:pPr>
              <w:keepNext/>
              <w:ind w:right="432"/>
              <w:jc w:val="center"/>
            </w:pPr>
            <w:r w:rsidRPr="00FA5833">
              <w:t>Total</w:t>
            </w:r>
          </w:p>
        </w:tc>
        <w:tc>
          <w:tcPr>
            <w:tcW w:w="2845" w:type="dxa"/>
            <w:tcBorders>
              <w:top w:val="single" w:sz="4" w:space="0" w:color="auto"/>
              <w:left w:val="single" w:sz="4" w:space="0" w:color="auto"/>
              <w:bottom w:val="single" w:sz="4" w:space="0" w:color="auto"/>
              <w:right w:val="single" w:sz="4" w:space="0" w:color="auto"/>
            </w:tcBorders>
            <w:vAlign w:val="center"/>
          </w:tcPr>
          <w:p w14:paraId="64B17FD8" w14:textId="77777777" w:rsidR="00FA5833" w:rsidRPr="00FA5833" w:rsidRDefault="00FA5833" w:rsidP="00FA5833">
            <w:pPr>
              <w:keepNext/>
              <w:ind w:right="432"/>
              <w:jc w:val="center"/>
              <w:cnfStyle w:val="100000000000" w:firstRow="1" w:lastRow="0" w:firstColumn="0" w:lastColumn="0" w:oddVBand="0" w:evenVBand="0" w:oddHBand="0" w:evenHBand="0" w:firstRowFirstColumn="0" w:firstRowLastColumn="0" w:lastRowFirstColumn="0" w:lastRowLastColumn="0"/>
            </w:pPr>
            <w:r w:rsidRPr="00FA5833">
              <w:t>Total Persons Served – Prevention</w:t>
            </w:r>
          </w:p>
        </w:tc>
        <w:tc>
          <w:tcPr>
            <w:cnfStyle w:val="000010000000" w:firstRow="0" w:lastRow="0" w:firstColumn="0" w:lastColumn="0" w:oddVBand="1" w:evenVBand="0" w:oddHBand="0" w:evenHBand="0" w:firstRowFirstColumn="0" w:firstRowLastColumn="0" w:lastRowFirstColumn="0" w:lastRowLastColumn="0"/>
            <w:tcW w:w="2863" w:type="dxa"/>
            <w:tcBorders>
              <w:top w:val="single" w:sz="4" w:space="0" w:color="auto"/>
              <w:left w:val="single" w:sz="4" w:space="0" w:color="auto"/>
              <w:bottom w:val="single" w:sz="4" w:space="0" w:color="auto"/>
              <w:right w:val="single" w:sz="4" w:space="0" w:color="auto"/>
            </w:tcBorders>
            <w:vAlign w:val="center"/>
          </w:tcPr>
          <w:p w14:paraId="088279BB" w14:textId="77777777" w:rsidR="00FA5833" w:rsidRPr="00FA5833" w:rsidRDefault="00FA5833" w:rsidP="00FA5833">
            <w:pPr>
              <w:keepNext/>
              <w:ind w:right="432"/>
              <w:jc w:val="center"/>
            </w:pPr>
            <w:r w:rsidRPr="00FA5833">
              <w:t>Total Persons Served – RRH</w:t>
            </w:r>
          </w:p>
        </w:tc>
        <w:tc>
          <w:tcPr>
            <w:cnfStyle w:val="000100000000" w:firstRow="0" w:lastRow="0" w:firstColumn="0" w:lastColumn="1" w:oddVBand="0" w:evenVBand="0" w:oddHBand="0" w:evenHBand="0" w:firstRowFirstColumn="0" w:firstRowLastColumn="0" w:lastRowFirstColumn="0" w:lastRowLastColumn="0"/>
            <w:tcW w:w="2831" w:type="dxa"/>
            <w:tcBorders>
              <w:top w:val="single" w:sz="4" w:space="0" w:color="auto"/>
              <w:left w:val="single" w:sz="4" w:space="0" w:color="auto"/>
              <w:bottom w:val="single" w:sz="4" w:space="0" w:color="auto"/>
              <w:right w:val="single" w:sz="4" w:space="0" w:color="auto"/>
            </w:tcBorders>
            <w:vAlign w:val="center"/>
          </w:tcPr>
          <w:p w14:paraId="1084C2DE" w14:textId="77777777" w:rsidR="00FA5833" w:rsidRPr="00FA5833" w:rsidRDefault="00FA5833" w:rsidP="00FA5833">
            <w:pPr>
              <w:keepNext/>
              <w:ind w:right="432"/>
              <w:jc w:val="center"/>
            </w:pPr>
            <w:r w:rsidRPr="00FA5833">
              <w:t>Total Persons Served in Emergency Shelters</w:t>
            </w:r>
          </w:p>
        </w:tc>
      </w:tr>
      <w:tr w:rsidR="00333717" w:rsidRPr="00C0352B" w14:paraId="3B4EC354" w14:textId="77777777" w:rsidTr="00CF1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0932EE78" w14:textId="77777777" w:rsidR="00333717" w:rsidRPr="00C0352B" w:rsidRDefault="00333717" w:rsidP="00FA5833">
            <w:pPr>
              <w:spacing w:before="100" w:beforeAutospacing="1" w:after="100" w:afterAutospacing="1"/>
              <w:rPr>
                <w:b w:val="0"/>
              </w:rPr>
            </w:pPr>
            <w:r>
              <w:rPr>
                <w:b w:val="0"/>
              </w:rPr>
              <w:t>Veterans</w:t>
            </w:r>
          </w:p>
        </w:tc>
        <w:tc>
          <w:tcPr>
            <w:cnfStyle w:val="000010000000" w:firstRow="0" w:lastRow="0" w:firstColumn="0" w:lastColumn="0" w:oddVBand="1" w:evenVBand="0" w:oddHBand="0" w:evenHBand="0" w:firstRowFirstColumn="0" w:firstRowLastColumn="0" w:lastRowFirstColumn="0" w:lastRowLastColumn="0"/>
            <w:tcW w:w="2609" w:type="dxa"/>
          </w:tcPr>
          <w:p w14:paraId="01F33303" w14:textId="77777777" w:rsidR="00333717" w:rsidRPr="00C0352B" w:rsidRDefault="00333717" w:rsidP="00C0352B">
            <w:pPr>
              <w:spacing w:before="100" w:beforeAutospacing="1" w:after="100" w:afterAutospacing="1"/>
              <w:jc w:val="right"/>
            </w:pPr>
            <w:r>
              <w:t>661</w:t>
            </w:r>
          </w:p>
        </w:tc>
        <w:tc>
          <w:tcPr>
            <w:tcW w:w="2845" w:type="dxa"/>
          </w:tcPr>
          <w:p w14:paraId="69F89D27" w14:textId="77777777" w:rsidR="00333717" w:rsidRPr="00C0352B" w:rsidRDefault="00333717" w:rsidP="00C0352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2863" w:type="dxa"/>
          </w:tcPr>
          <w:p w14:paraId="01B1E1AD" w14:textId="77777777" w:rsidR="00333717" w:rsidRPr="00C0352B" w:rsidRDefault="00333717" w:rsidP="00C0352B">
            <w:pPr>
              <w:spacing w:before="100" w:beforeAutospacing="1" w:after="100" w:afterAutospacing="1"/>
              <w:jc w:val="right"/>
            </w:pPr>
            <w:r>
              <w:t>192</w:t>
            </w:r>
          </w:p>
        </w:tc>
        <w:tc>
          <w:tcPr>
            <w:cnfStyle w:val="000100000000" w:firstRow="0" w:lastRow="0" w:firstColumn="0" w:lastColumn="1" w:oddVBand="0" w:evenVBand="0" w:oddHBand="0" w:evenHBand="0" w:firstRowFirstColumn="0" w:firstRowLastColumn="0" w:lastRowFirstColumn="0" w:lastRowLastColumn="0"/>
            <w:tcW w:w="2831" w:type="dxa"/>
          </w:tcPr>
          <w:p w14:paraId="202B61AC" w14:textId="77777777" w:rsidR="00333717" w:rsidRPr="00C0352B" w:rsidRDefault="00333717" w:rsidP="00FF312A">
            <w:pPr>
              <w:spacing w:before="100" w:beforeAutospacing="1" w:after="100" w:afterAutospacing="1"/>
              <w:jc w:val="right"/>
              <w:rPr>
                <w:b w:val="0"/>
              </w:rPr>
            </w:pPr>
            <w:r>
              <w:rPr>
                <w:b w:val="0"/>
              </w:rPr>
              <w:t>334</w:t>
            </w:r>
          </w:p>
        </w:tc>
      </w:tr>
      <w:tr w:rsidR="00FA5833" w:rsidRPr="00C0352B" w14:paraId="27FADC09" w14:textId="77777777" w:rsidTr="00CF1266">
        <w:tc>
          <w:tcPr>
            <w:cnfStyle w:val="001000000000" w:firstRow="0" w:lastRow="0" w:firstColumn="1" w:lastColumn="0" w:oddVBand="0" w:evenVBand="0" w:oddHBand="0" w:evenHBand="0" w:firstRowFirstColumn="0" w:firstRowLastColumn="0" w:lastRowFirstColumn="0" w:lastRowLastColumn="0"/>
            <w:tcW w:w="3242" w:type="dxa"/>
          </w:tcPr>
          <w:p w14:paraId="57A82EB4" w14:textId="77777777" w:rsidR="00FA5833" w:rsidRPr="00C0352B" w:rsidRDefault="00FA5833" w:rsidP="00FA5833">
            <w:pPr>
              <w:spacing w:before="100" w:beforeAutospacing="1" w:after="100" w:afterAutospacing="1"/>
              <w:rPr>
                <w:b w:val="0"/>
              </w:rPr>
            </w:pPr>
            <w:r w:rsidRPr="00C0352B">
              <w:rPr>
                <w:b w:val="0"/>
              </w:rPr>
              <w:t>Victims of Domestic Violence</w:t>
            </w:r>
          </w:p>
        </w:tc>
        <w:tc>
          <w:tcPr>
            <w:cnfStyle w:val="000010000000" w:firstRow="0" w:lastRow="0" w:firstColumn="0" w:lastColumn="0" w:oddVBand="1" w:evenVBand="0" w:oddHBand="0" w:evenHBand="0" w:firstRowFirstColumn="0" w:firstRowLastColumn="0" w:lastRowFirstColumn="0" w:lastRowLastColumn="0"/>
            <w:tcW w:w="2609" w:type="dxa"/>
          </w:tcPr>
          <w:p w14:paraId="6A148A47" w14:textId="77777777" w:rsidR="00FA5833" w:rsidRPr="00C0352B" w:rsidRDefault="00333717" w:rsidP="00C0352B">
            <w:pPr>
              <w:spacing w:before="100" w:beforeAutospacing="1" w:after="100" w:afterAutospacing="1"/>
              <w:jc w:val="right"/>
            </w:pPr>
            <w:r>
              <w:t>923</w:t>
            </w:r>
          </w:p>
        </w:tc>
        <w:tc>
          <w:tcPr>
            <w:tcW w:w="2845" w:type="dxa"/>
          </w:tcPr>
          <w:p w14:paraId="3109AC4C" w14:textId="77777777" w:rsidR="00FA5833" w:rsidRPr="00C0352B" w:rsidRDefault="00333717" w:rsidP="00C0352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10</w:t>
            </w:r>
          </w:p>
        </w:tc>
        <w:tc>
          <w:tcPr>
            <w:cnfStyle w:val="000010000000" w:firstRow="0" w:lastRow="0" w:firstColumn="0" w:lastColumn="0" w:oddVBand="1" w:evenVBand="0" w:oddHBand="0" w:evenHBand="0" w:firstRowFirstColumn="0" w:firstRowLastColumn="0" w:lastRowFirstColumn="0" w:lastRowLastColumn="0"/>
            <w:tcW w:w="2863" w:type="dxa"/>
          </w:tcPr>
          <w:p w14:paraId="5B23A5AA" w14:textId="77777777" w:rsidR="00FA5833" w:rsidRPr="00C0352B" w:rsidRDefault="00333717" w:rsidP="00C0352B">
            <w:pPr>
              <w:spacing w:before="100" w:beforeAutospacing="1" w:after="100" w:afterAutospacing="1"/>
              <w:jc w:val="right"/>
            </w:pPr>
            <w:r>
              <w:t>206</w:t>
            </w:r>
          </w:p>
        </w:tc>
        <w:tc>
          <w:tcPr>
            <w:cnfStyle w:val="000100000000" w:firstRow="0" w:lastRow="0" w:firstColumn="0" w:lastColumn="1" w:oddVBand="0" w:evenVBand="0" w:oddHBand="0" w:evenHBand="0" w:firstRowFirstColumn="0" w:firstRowLastColumn="0" w:lastRowFirstColumn="0" w:lastRowLastColumn="0"/>
            <w:tcW w:w="2831" w:type="dxa"/>
          </w:tcPr>
          <w:p w14:paraId="01976498" w14:textId="77777777" w:rsidR="00FA5833" w:rsidRPr="00C0352B" w:rsidRDefault="00333717" w:rsidP="00FF312A">
            <w:pPr>
              <w:spacing w:before="100" w:beforeAutospacing="1" w:after="100" w:afterAutospacing="1"/>
              <w:jc w:val="right"/>
              <w:rPr>
                <w:b w:val="0"/>
              </w:rPr>
            </w:pPr>
            <w:r>
              <w:rPr>
                <w:b w:val="0"/>
              </w:rPr>
              <w:t>673</w:t>
            </w:r>
          </w:p>
        </w:tc>
      </w:tr>
      <w:tr w:rsidR="00FA5833" w:rsidRPr="00C0352B" w14:paraId="6540BE5D" w14:textId="77777777" w:rsidTr="00CF1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5DD7FD51" w14:textId="77777777" w:rsidR="00FA5833" w:rsidRPr="00C0352B" w:rsidRDefault="00FA5833" w:rsidP="00936F6D">
            <w:pPr>
              <w:spacing w:beforeAutospacing="1" w:afterAutospacing="1"/>
              <w:rPr>
                <w:b w:val="0"/>
              </w:rPr>
            </w:pPr>
            <w:r w:rsidRPr="00C0352B">
              <w:rPr>
                <w:b w:val="0"/>
              </w:rPr>
              <w:t>Elderly</w:t>
            </w:r>
          </w:p>
        </w:tc>
        <w:tc>
          <w:tcPr>
            <w:cnfStyle w:val="000010000000" w:firstRow="0" w:lastRow="0" w:firstColumn="0" w:lastColumn="0" w:oddVBand="1" w:evenVBand="0" w:oddHBand="0" w:evenHBand="0" w:firstRowFirstColumn="0" w:firstRowLastColumn="0" w:lastRowFirstColumn="0" w:lastRowLastColumn="0"/>
            <w:tcW w:w="2609" w:type="dxa"/>
          </w:tcPr>
          <w:p w14:paraId="421DECAC" w14:textId="77777777" w:rsidR="00FA5833" w:rsidRPr="00C0352B" w:rsidRDefault="00333717" w:rsidP="00C0352B">
            <w:pPr>
              <w:spacing w:before="100" w:beforeAutospacing="1" w:after="100" w:afterAutospacing="1"/>
              <w:jc w:val="right"/>
            </w:pPr>
            <w:r>
              <w:t>992</w:t>
            </w:r>
          </w:p>
        </w:tc>
        <w:tc>
          <w:tcPr>
            <w:tcW w:w="2845" w:type="dxa"/>
          </w:tcPr>
          <w:p w14:paraId="110D555C" w14:textId="77777777" w:rsidR="00FA5833" w:rsidRPr="00C0352B" w:rsidRDefault="00333717" w:rsidP="00C0352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2863" w:type="dxa"/>
          </w:tcPr>
          <w:p w14:paraId="479059DA" w14:textId="77777777" w:rsidR="00FA5833" w:rsidRPr="00C0352B" w:rsidRDefault="00333717" w:rsidP="00C0352B">
            <w:pPr>
              <w:spacing w:before="100" w:beforeAutospacing="1" w:after="100" w:afterAutospacing="1"/>
              <w:jc w:val="right"/>
            </w:pPr>
            <w:r>
              <w:t>311</w:t>
            </w:r>
          </w:p>
        </w:tc>
        <w:tc>
          <w:tcPr>
            <w:cnfStyle w:val="000100000000" w:firstRow="0" w:lastRow="0" w:firstColumn="0" w:lastColumn="1" w:oddVBand="0" w:evenVBand="0" w:oddHBand="0" w:evenHBand="0" w:firstRowFirstColumn="0" w:firstRowLastColumn="0" w:lastRowFirstColumn="0" w:lastRowLastColumn="0"/>
            <w:tcW w:w="2831" w:type="dxa"/>
          </w:tcPr>
          <w:p w14:paraId="07D3D937" w14:textId="77777777" w:rsidR="00FA5833" w:rsidRPr="00C0352B" w:rsidRDefault="00333717" w:rsidP="00FF312A">
            <w:pPr>
              <w:spacing w:before="100" w:beforeAutospacing="1" w:after="100" w:afterAutospacing="1"/>
              <w:jc w:val="right"/>
              <w:rPr>
                <w:b w:val="0"/>
              </w:rPr>
            </w:pPr>
            <w:r>
              <w:rPr>
                <w:b w:val="0"/>
              </w:rPr>
              <w:t>473</w:t>
            </w:r>
          </w:p>
        </w:tc>
      </w:tr>
      <w:tr w:rsidR="00FA5833" w:rsidRPr="00C0352B" w14:paraId="0C002316" w14:textId="77777777" w:rsidTr="00CF1266">
        <w:tc>
          <w:tcPr>
            <w:cnfStyle w:val="001000000000" w:firstRow="0" w:lastRow="0" w:firstColumn="1" w:lastColumn="0" w:oddVBand="0" w:evenVBand="0" w:oddHBand="0" w:evenHBand="0" w:firstRowFirstColumn="0" w:firstRowLastColumn="0" w:lastRowFirstColumn="0" w:lastRowLastColumn="0"/>
            <w:tcW w:w="3242" w:type="dxa"/>
          </w:tcPr>
          <w:p w14:paraId="7FD3D624" w14:textId="77777777" w:rsidR="00FA5833" w:rsidRPr="00C0352B" w:rsidRDefault="00FA5833" w:rsidP="00936F6D">
            <w:pPr>
              <w:spacing w:beforeAutospacing="1" w:afterAutospacing="1"/>
              <w:rPr>
                <w:b w:val="0"/>
              </w:rPr>
            </w:pPr>
            <w:r w:rsidRPr="00C0352B">
              <w:rPr>
                <w:b w:val="0"/>
              </w:rPr>
              <w:t>HIV/AIDS</w:t>
            </w:r>
          </w:p>
        </w:tc>
        <w:tc>
          <w:tcPr>
            <w:cnfStyle w:val="000010000000" w:firstRow="0" w:lastRow="0" w:firstColumn="0" w:lastColumn="0" w:oddVBand="1" w:evenVBand="0" w:oddHBand="0" w:evenHBand="0" w:firstRowFirstColumn="0" w:firstRowLastColumn="0" w:lastRowFirstColumn="0" w:lastRowLastColumn="0"/>
            <w:tcW w:w="2609" w:type="dxa"/>
            <w:vAlign w:val="center"/>
          </w:tcPr>
          <w:p w14:paraId="7CCB138B" w14:textId="77777777" w:rsidR="00FA5833" w:rsidRPr="00C0352B" w:rsidRDefault="00333717" w:rsidP="00C0352B">
            <w:pPr>
              <w:spacing w:before="100" w:beforeAutospacing="1" w:after="100" w:afterAutospacing="1"/>
              <w:jc w:val="right"/>
            </w:pPr>
            <w:r>
              <w:t>88</w:t>
            </w:r>
          </w:p>
        </w:tc>
        <w:tc>
          <w:tcPr>
            <w:tcW w:w="2845" w:type="dxa"/>
          </w:tcPr>
          <w:p w14:paraId="15B9AE10" w14:textId="77777777" w:rsidR="00FA5833" w:rsidRPr="00C0352B" w:rsidRDefault="00333717" w:rsidP="00C0352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2863" w:type="dxa"/>
            <w:vAlign w:val="center"/>
          </w:tcPr>
          <w:p w14:paraId="0F576B51" w14:textId="77777777" w:rsidR="00FA5833" w:rsidRPr="00C0352B" w:rsidRDefault="00333717" w:rsidP="00C0352B">
            <w:pPr>
              <w:spacing w:before="100" w:beforeAutospacing="1" w:after="100" w:afterAutospacing="1"/>
              <w:jc w:val="right"/>
            </w:pPr>
            <w:r>
              <w:t>13</w:t>
            </w:r>
          </w:p>
        </w:tc>
        <w:tc>
          <w:tcPr>
            <w:cnfStyle w:val="000100000000" w:firstRow="0" w:lastRow="0" w:firstColumn="0" w:lastColumn="1" w:oddVBand="0" w:evenVBand="0" w:oddHBand="0" w:evenHBand="0" w:firstRowFirstColumn="0" w:firstRowLastColumn="0" w:lastRowFirstColumn="0" w:lastRowLastColumn="0"/>
            <w:tcW w:w="2831" w:type="dxa"/>
          </w:tcPr>
          <w:p w14:paraId="27BCAB30" w14:textId="77777777" w:rsidR="00FA5833" w:rsidRPr="00C0352B" w:rsidRDefault="00333717" w:rsidP="00FF312A">
            <w:pPr>
              <w:spacing w:before="100" w:beforeAutospacing="1" w:after="100" w:afterAutospacing="1"/>
              <w:jc w:val="right"/>
              <w:rPr>
                <w:b w:val="0"/>
              </w:rPr>
            </w:pPr>
            <w:r>
              <w:rPr>
                <w:b w:val="0"/>
              </w:rPr>
              <w:t>52</w:t>
            </w:r>
          </w:p>
        </w:tc>
      </w:tr>
      <w:tr w:rsidR="00FA5833" w:rsidRPr="00C0352B" w14:paraId="4EDE8472" w14:textId="77777777" w:rsidTr="00CF126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7C4EC3E0" w14:textId="77777777" w:rsidR="00FA5833" w:rsidRPr="00C0352B" w:rsidRDefault="00FA5833" w:rsidP="00936F6D">
            <w:pPr>
              <w:spacing w:beforeAutospacing="1" w:afterAutospacing="1"/>
              <w:rPr>
                <w:b w:val="0"/>
              </w:rPr>
            </w:pPr>
            <w:r w:rsidRPr="00C0352B">
              <w:rPr>
                <w:b w:val="0"/>
              </w:rPr>
              <w:t>Chronically Homeless</w:t>
            </w:r>
          </w:p>
        </w:tc>
        <w:tc>
          <w:tcPr>
            <w:cnfStyle w:val="000010000000" w:firstRow="0" w:lastRow="0" w:firstColumn="0" w:lastColumn="0" w:oddVBand="1" w:evenVBand="0" w:oddHBand="0" w:evenHBand="0" w:firstRowFirstColumn="0" w:firstRowLastColumn="0" w:lastRowFirstColumn="0" w:lastRowLastColumn="0"/>
            <w:tcW w:w="2609" w:type="dxa"/>
          </w:tcPr>
          <w:p w14:paraId="74BD741D" w14:textId="77777777" w:rsidR="00FA5833" w:rsidRPr="00C0352B" w:rsidRDefault="00333717" w:rsidP="00C0352B">
            <w:pPr>
              <w:spacing w:before="100" w:beforeAutospacing="1" w:after="100" w:afterAutospacing="1"/>
              <w:jc w:val="right"/>
              <w:rPr>
                <w:b w:val="0"/>
              </w:rPr>
            </w:pPr>
            <w:r>
              <w:rPr>
                <w:b w:val="0"/>
              </w:rPr>
              <w:t>155</w:t>
            </w:r>
          </w:p>
        </w:tc>
        <w:tc>
          <w:tcPr>
            <w:tcW w:w="2845" w:type="dxa"/>
          </w:tcPr>
          <w:p w14:paraId="231C7399" w14:textId="77777777" w:rsidR="00FA5833" w:rsidRPr="00C0352B" w:rsidRDefault="00333717" w:rsidP="00C0352B">
            <w:pPr>
              <w:spacing w:before="100" w:beforeAutospacing="1" w:after="100" w:afterAutospacing="1"/>
              <w:jc w:val="right"/>
              <w:cnfStyle w:val="010000000000" w:firstRow="0" w:lastRow="1" w:firstColumn="0" w:lastColumn="0" w:oddVBand="0" w:evenVBand="0" w:oddHBand="0" w:evenHBand="0" w:firstRowFirstColumn="0" w:firstRowLastColumn="0" w:lastRowFirstColumn="0" w:lastRowLastColumn="0"/>
              <w:rPr>
                <w:b w:val="0"/>
              </w:rPr>
            </w:pPr>
            <w:r>
              <w:rPr>
                <w:b w:val="0"/>
              </w:rPr>
              <w:t>0</w:t>
            </w:r>
          </w:p>
        </w:tc>
        <w:tc>
          <w:tcPr>
            <w:cnfStyle w:val="000010000000" w:firstRow="0" w:lastRow="0" w:firstColumn="0" w:lastColumn="0" w:oddVBand="1" w:evenVBand="0" w:oddHBand="0" w:evenHBand="0" w:firstRowFirstColumn="0" w:firstRowLastColumn="0" w:lastRowFirstColumn="0" w:lastRowLastColumn="0"/>
            <w:tcW w:w="2863" w:type="dxa"/>
          </w:tcPr>
          <w:p w14:paraId="158B8030" w14:textId="77777777" w:rsidR="00FA5833" w:rsidRPr="00C0352B" w:rsidRDefault="00333717" w:rsidP="00C0352B">
            <w:pPr>
              <w:spacing w:before="100" w:beforeAutospacing="1" w:after="100" w:afterAutospacing="1"/>
              <w:jc w:val="right"/>
              <w:rPr>
                <w:b w:val="0"/>
              </w:rPr>
            </w:pPr>
            <w:r>
              <w:rPr>
                <w:b w:val="0"/>
              </w:rPr>
              <w:t>359</w:t>
            </w:r>
          </w:p>
        </w:tc>
        <w:tc>
          <w:tcPr>
            <w:cnfStyle w:val="000100000000" w:firstRow="0" w:lastRow="0" w:firstColumn="0" w:lastColumn="1" w:oddVBand="0" w:evenVBand="0" w:oddHBand="0" w:evenHBand="0" w:firstRowFirstColumn="0" w:firstRowLastColumn="0" w:lastRowFirstColumn="0" w:lastRowLastColumn="0"/>
            <w:tcW w:w="2831" w:type="dxa"/>
          </w:tcPr>
          <w:p w14:paraId="23C16F7B" w14:textId="77777777" w:rsidR="00FA5833" w:rsidRPr="00C0352B" w:rsidRDefault="00333717" w:rsidP="00FF312A">
            <w:pPr>
              <w:spacing w:before="100" w:beforeAutospacing="1" w:after="100" w:afterAutospacing="1"/>
              <w:jc w:val="right"/>
              <w:rPr>
                <w:b w:val="0"/>
              </w:rPr>
            </w:pPr>
            <w:r>
              <w:rPr>
                <w:b w:val="0"/>
              </w:rPr>
              <w:t>1,230</w:t>
            </w:r>
          </w:p>
        </w:tc>
      </w:tr>
    </w:tbl>
    <w:p w14:paraId="498BDD2F" w14:textId="77777777" w:rsidR="00FA5833" w:rsidRPr="00C0352B" w:rsidRDefault="00FA5833" w:rsidP="00FA5833">
      <w:pPr>
        <w:widowControl w:val="0"/>
        <w:spacing w:after="0" w:line="240" w:lineRule="auto"/>
        <w:rPr>
          <w:vanish/>
          <w:szCs w:val="24"/>
        </w:rPr>
      </w:pPr>
    </w:p>
    <w:tbl>
      <w:tblPr>
        <w:tblStyle w:val="GridTable4-Accent3"/>
        <w:tblW w:w="5000" w:type="pct"/>
        <w:tblLayout w:type="fixed"/>
        <w:tblLook w:val="01E0" w:firstRow="1" w:lastRow="1" w:firstColumn="1" w:lastColumn="1" w:noHBand="0" w:noVBand="0"/>
      </w:tblPr>
      <w:tblGrid>
        <w:gridCol w:w="3235"/>
        <w:gridCol w:w="2616"/>
        <w:gridCol w:w="2845"/>
        <w:gridCol w:w="2863"/>
        <w:gridCol w:w="2831"/>
      </w:tblGrid>
      <w:tr w:rsidR="00FA5833" w14:paraId="49A876C4" w14:textId="77777777" w:rsidTr="00FF3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335375" w:themeFill="accent3" w:themeFillShade="BF"/>
            <w:vAlign w:val="center"/>
          </w:tcPr>
          <w:p w14:paraId="15B130C3" w14:textId="77777777" w:rsidR="00FA5833" w:rsidRPr="000700E1" w:rsidRDefault="00FA5833" w:rsidP="00CF1266">
            <w:pPr>
              <w:keepNext/>
              <w:ind w:right="432"/>
              <w:jc w:val="center"/>
            </w:pPr>
            <w:r w:rsidRPr="000700E1">
              <w:t>Persons with Disabilities</w:t>
            </w:r>
          </w:p>
        </w:tc>
      </w:tr>
      <w:tr w:rsidR="00FA5833" w14:paraId="503E3C92" w14:textId="77777777" w:rsidTr="00FF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EE11372" w14:textId="77777777" w:rsidR="00FA5833" w:rsidRPr="000700E1" w:rsidRDefault="00FA5833" w:rsidP="000700E1">
            <w:pPr>
              <w:spacing w:before="100" w:beforeAutospacing="1" w:after="100" w:afterAutospacing="1"/>
              <w:rPr>
                <w:b w:val="0"/>
              </w:rPr>
            </w:pPr>
            <w:r w:rsidRPr="000700E1">
              <w:rPr>
                <w:b w:val="0"/>
                <w:color w:val="000000"/>
              </w:rPr>
              <w:t>Severely Mentally Ill</w:t>
            </w:r>
          </w:p>
        </w:tc>
        <w:tc>
          <w:tcPr>
            <w:cnfStyle w:val="000010000000" w:firstRow="0" w:lastRow="0" w:firstColumn="0" w:lastColumn="0" w:oddVBand="1" w:evenVBand="0" w:oddHBand="0" w:evenHBand="0" w:firstRowFirstColumn="0" w:firstRowLastColumn="0" w:lastRowFirstColumn="0" w:lastRowLastColumn="0"/>
            <w:tcW w:w="2616" w:type="dxa"/>
            <w:vAlign w:val="center"/>
          </w:tcPr>
          <w:p w14:paraId="7BB3D8DF" w14:textId="77777777" w:rsidR="00FA5833" w:rsidRPr="00C0352B" w:rsidRDefault="00333717" w:rsidP="00FF312A">
            <w:pPr>
              <w:spacing w:before="100" w:beforeAutospacing="1" w:after="100" w:afterAutospacing="1"/>
              <w:jc w:val="right"/>
            </w:pPr>
            <w:r>
              <w:t>3,695</w:t>
            </w:r>
          </w:p>
        </w:tc>
        <w:tc>
          <w:tcPr>
            <w:tcW w:w="2845" w:type="dxa"/>
            <w:vAlign w:val="center"/>
          </w:tcPr>
          <w:p w14:paraId="3D93E8C2" w14:textId="77777777" w:rsidR="00FA5833" w:rsidRPr="00C0352B" w:rsidRDefault="00333717" w:rsidP="00FF312A">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2863" w:type="dxa"/>
            <w:vAlign w:val="center"/>
          </w:tcPr>
          <w:p w14:paraId="6E553D28" w14:textId="77777777" w:rsidR="00FA5833" w:rsidRPr="00C0352B" w:rsidRDefault="00333717" w:rsidP="00FF312A">
            <w:pPr>
              <w:spacing w:beforeAutospacing="1" w:afterAutospacing="1"/>
              <w:jc w:val="right"/>
            </w:pPr>
            <w:r>
              <w:t>895</w:t>
            </w:r>
          </w:p>
        </w:tc>
        <w:tc>
          <w:tcPr>
            <w:cnfStyle w:val="000100000000" w:firstRow="0" w:lastRow="0" w:firstColumn="0" w:lastColumn="1" w:oddVBand="0" w:evenVBand="0" w:oddHBand="0" w:evenHBand="0" w:firstRowFirstColumn="0" w:firstRowLastColumn="0" w:lastRowFirstColumn="0" w:lastRowLastColumn="0"/>
            <w:tcW w:w="2831" w:type="dxa"/>
            <w:vAlign w:val="center"/>
          </w:tcPr>
          <w:p w14:paraId="571809D6" w14:textId="77777777" w:rsidR="00FA5833" w:rsidRPr="00C0352B" w:rsidRDefault="00333717" w:rsidP="00FF312A">
            <w:pPr>
              <w:spacing w:beforeAutospacing="1" w:afterAutospacing="1"/>
              <w:jc w:val="right"/>
              <w:rPr>
                <w:b w:val="0"/>
              </w:rPr>
            </w:pPr>
            <w:r>
              <w:rPr>
                <w:b w:val="0"/>
              </w:rPr>
              <w:t>2,001</w:t>
            </w:r>
          </w:p>
        </w:tc>
      </w:tr>
      <w:tr w:rsidR="00FA5833" w14:paraId="730C3FB6" w14:textId="77777777" w:rsidTr="00FF312A">
        <w:tc>
          <w:tcPr>
            <w:cnfStyle w:val="001000000000" w:firstRow="0" w:lastRow="0" w:firstColumn="1" w:lastColumn="0" w:oddVBand="0" w:evenVBand="0" w:oddHBand="0" w:evenHBand="0" w:firstRowFirstColumn="0" w:firstRowLastColumn="0" w:lastRowFirstColumn="0" w:lastRowLastColumn="0"/>
            <w:tcW w:w="3235" w:type="dxa"/>
          </w:tcPr>
          <w:p w14:paraId="7EA6811B" w14:textId="77777777" w:rsidR="00FA5833" w:rsidRPr="000700E1" w:rsidRDefault="00FA5833" w:rsidP="000700E1">
            <w:pPr>
              <w:spacing w:before="100" w:beforeAutospacing="1" w:after="100" w:afterAutospacing="1"/>
              <w:rPr>
                <w:b w:val="0"/>
              </w:rPr>
            </w:pPr>
            <w:r w:rsidRPr="000700E1">
              <w:rPr>
                <w:b w:val="0"/>
                <w:color w:val="000000"/>
              </w:rPr>
              <w:t>Chronic Substance Abuse</w:t>
            </w:r>
          </w:p>
        </w:tc>
        <w:tc>
          <w:tcPr>
            <w:cnfStyle w:val="000010000000" w:firstRow="0" w:lastRow="0" w:firstColumn="0" w:lastColumn="0" w:oddVBand="1" w:evenVBand="0" w:oddHBand="0" w:evenHBand="0" w:firstRowFirstColumn="0" w:firstRowLastColumn="0" w:lastRowFirstColumn="0" w:lastRowLastColumn="0"/>
            <w:tcW w:w="2616" w:type="dxa"/>
            <w:vAlign w:val="center"/>
          </w:tcPr>
          <w:p w14:paraId="54B3E15E" w14:textId="77777777" w:rsidR="00FA5833" w:rsidRPr="00C0352B" w:rsidRDefault="00333717" w:rsidP="00FF312A">
            <w:pPr>
              <w:spacing w:beforeAutospacing="1" w:afterAutospacing="1"/>
              <w:jc w:val="right"/>
            </w:pPr>
            <w:r>
              <w:t>2,632</w:t>
            </w:r>
          </w:p>
        </w:tc>
        <w:tc>
          <w:tcPr>
            <w:tcW w:w="2845" w:type="dxa"/>
            <w:vAlign w:val="center"/>
          </w:tcPr>
          <w:p w14:paraId="13D9B708" w14:textId="77777777" w:rsidR="00FA5833" w:rsidRPr="00C0352B" w:rsidRDefault="00333717" w:rsidP="00FF312A">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2863" w:type="dxa"/>
            <w:vAlign w:val="center"/>
          </w:tcPr>
          <w:p w14:paraId="224F6641" w14:textId="77777777" w:rsidR="00FA5833" w:rsidRPr="00C0352B" w:rsidRDefault="00333717" w:rsidP="00FF312A">
            <w:pPr>
              <w:spacing w:beforeAutospacing="1" w:afterAutospacing="1"/>
              <w:jc w:val="right"/>
            </w:pPr>
            <w:r>
              <w:t>216</w:t>
            </w:r>
          </w:p>
        </w:tc>
        <w:tc>
          <w:tcPr>
            <w:cnfStyle w:val="000100000000" w:firstRow="0" w:lastRow="0" w:firstColumn="0" w:lastColumn="1" w:oddVBand="0" w:evenVBand="0" w:oddHBand="0" w:evenHBand="0" w:firstRowFirstColumn="0" w:firstRowLastColumn="0" w:lastRowFirstColumn="0" w:lastRowLastColumn="0"/>
            <w:tcW w:w="2831" w:type="dxa"/>
            <w:vAlign w:val="center"/>
          </w:tcPr>
          <w:p w14:paraId="5B1295DE" w14:textId="77777777" w:rsidR="00FA5833" w:rsidRPr="00C0352B" w:rsidRDefault="00333717" w:rsidP="00FF312A">
            <w:pPr>
              <w:spacing w:beforeAutospacing="1" w:afterAutospacing="1"/>
              <w:jc w:val="right"/>
              <w:rPr>
                <w:b w:val="0"/>
              </w:rPr>
            </w:pPr>
            <w:r>
              <w:rPr>
                <w:b w:val="0"/>
              </w:rPr>
              <w:t>1,496</w:t>
            </w:r>
          </w:p>
        </w:tc>
      </w:tr>
      <w:tr w:rsidR="00FA5833" w14:paraId="6B6AE348" w14:textId="77777777" w:rsidTr="00FF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7F50FB2" w14:textId="77777777" w:rsidR="00FA5833" w:rsidRPr="000700E1" w:rsidRDefault="00FA5833" w:rsidP="000700E1">
            <w:pPr>
              <w:spacing w:before="100" w:beforeAutospacing="1" w:after="100" w:afterAutospacing="1"/>
              <w:rPr>
                <w:b w:val="0"/>
              </w:rPr>
            </w:pPr>
            <w:r w:rsidRPr="000700E1">
              <w:rPr>
                <w:b w:val="0"/>
                <w:color w:val="000000"/>
              </w:rPr>
              <w:t>Other Disability</w:t>
            </w:r>
          </w:p>
        </w:tc>
        <w:tc>
          <w:tcPr>
            <w:cnfStyle w:val="000010000000" w:firstRow="0" w:lastRow="0" w:firstColumn="0" w:lastColumn="0" w:oddVBand="1" w:evenVBand="0" w:oddHBand="0" w:evenHBand="0" w:firstRowFirstColumn="0" w:firstRowLastColumn="0" w:lastRowFirstColumn="0" w:lastRowLastColumn="0"/>
            <w:tcW w:w="2616" w:type="dxa"/>
            <w:vAlign w:val="center"/>
          </w:tcPr>
          <w:p w14:paraId="4F67ECC4" w14:textId="77777777" w:rsidR="00FA5833" w:rsidRPr="00C0352B" w:rsidRDefault="00333717" w:rsidP="00FF312A">
            <w:pPr>
              <w:spacing w:beforeAutospacing="1" w:afterAutospacing="1"/>
              <w:jc w:val="right"/>
            </w:pPr>
            <w:r>
              <w:t>3,589</w:t>
            </w:r>
          </w:p>
        </w:tc>
        <w:tc>
          <w:tcPr>
            <w:tcW w:w="2845" w:type="dxa"/>
            <w:vAlign w:val="center"/>
          </w:tcPr>
          <w:p w14:paraId="60F2F185" w14:textId="77777777" w:rsidR="00FA5833" w:rsidRPr="00C0352B" w:rsidRDefault="00333717" w:rsidP="00FF312A">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19</w:t>
            </w:r>
          </w:p>
        </w:tc>
        <w:tc>
          <w:tcPr>
            <w:cnfStyle w:val="000010000000" w:firstRow="0" w:lastRow="0" w:firstColumn="0" w:lastColumn="0" w:oddVBand="1" w:evenVBand="0" w:oddHBand="0" w:evenHBand="0" w:firstRowFirstColumn="0" w:firstRowLastColumn="0" w:lastRowFirstColumn="0" w:lastRowLastColumn="0"/>
            <w:tcW w:w="2863" w:type="dxa"/>
            <w:vAlign w:val="center"/>
          </w:tcPr>
          <w:p w14:paraId="63285EBF" w14:textId="77777777" w:rsidR="00FA5833" w:rsidRPr="00C0352B" w:rsidRDefault="00333717" w:rsidP="00FF312A">
            <w:pPr>
              <w:spacing w:before="100" w:beforeAutospacing="1" w:after="100" w:afterAutospacing="1"/>
              <w:jc w:val="right"/>
            </w:pPr>
            <w:r>
              <w:t>897</w:t>
            </w:r>
          </w:p>
        </w:tc>
        <w:tc>
          <w:tcPr>
            <w:cnfStyle w:val="000100000000" w:firstRow="0" w:lastRow="0" w:firstColumn="0" w:lastColumn="1" w:oddVBand="0" w:evenVBand="0" w:oddHBand="0" w:evenHBand="0" w:firstRowFirstColumn="0" w:firstRowLastColumn="0" w:lastRowFirstColumn="0" w:lastRowLastColumn="0"/>
            <w:tcW w:w="2831" w:type="dxa"/>
            <w:vAlign w:val="center"/>
          </w:tcPr>
          <w:p w14:paraId="1EC7A0A7" w14:textId="77777777" w:rsidR="00FA5833" w:rsidRPr="00C0352B" w:rsidRDefault="00333717" w:rsidP="00FF312A">
            <w:pPr>
              <w:spacing w:beforeAutospacing="1" w:afterAutospacing="1"/>
              <w:jc w:val="right"/>
              <w:rPr>
                <w:b w:val="0"/>
              </w:rPr>
            </w:pPr>
            <w:r>
              <w:rPr>
                <w:b w:val="0"/>
              </w:rPr>
              <w:t>1,981</w:t>
            </w:r>
          </w:p>
        </w:tc>
      </w:tr>
      <w:tr w:rsidR="00FA5833" w14:paraId="76E948E7" w14:textId="77777777" w:rsidTr="00FF31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E9E3F55" w14:textId="77777777" w:rsidR="00FA5833" w:rsidRDefault="00FA5833" w:rsidP="000700E1">
            <w:pPr>
              <w:spacing w:before="100" w:beforeAutospacing="1" w:after="100" w:afterAutospacing="1"/>
            </w:pPr>
            <w:r>
              <w:rPr>
                <w:color w:val="000000"/>
              </w:rPr>
              <w:t>Total (Unduplicated if possible)</w:t>
            </w:r>
          </w:p>
        </w:tc>
        <w:tc>
          <w:tcPr>
            <w:cnfStyle w:val="000010000000" w:firstRow="0" w:lastRow="0" w:firstColumn="0" w:lastColumn="0" w:oddVBand="1" w:evenVBand="0" w:oddHBand="0" w:evenHBand="0" w:firstRowFirstColumn="0" w:firstRowLastColumn="0" w:lastRowFirstColumn="0" w:lastRowLastColumn="0"/>
            <w:tcW w:w="2616" w:type="dxa"/>
            <w:vAlign w:val="center"/>
          </w:tcPr>
          <w:p w14:paraId="17F09B97" w14:textId="77777777" w:rsidR="00FA5833" w:rsidRPr="00C0352B" w:rsidRDefault="00333717" w:rsidP="00FF312A">
            <w:pPr>
              <w:spacing w:beforeAutospacing="1" w:afterAutospacing="1"/>
              <w:jc w:val="right"/>
            </w:pPr>
            <w:r>
              <w:t>9,916</w:t>
            </w:r>
          </w:p>
        </w:tc>
        <w:tc>
          <w:tcPr>
            <w:tcW w:w="2845" w:type="dxa"/>
            <w:vAlign w:val="center"/>
          </w:tcPr>
          <w:p w14:paraId="048D9F24" w14:textId="77777777" w:rsidR="00FA5833" w:rsidRPr="00C0352B" w:rsidRDefault="00333717" w:rsidP="00FF312A">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t>40</w:t>
            </w:r>
          </w:p>
        </w:tc>
        <w:tc>
          <w:tcPr>
            <w:cnfStyle w:val="000010000000" w:firstRow="0" w:lastRow="0" w:firstColumn="0" w:lastColumn="0" w:oddVBand="1" w:evenVBand="0" w:oddHBand="0" w:evenHBand="0" w:firstRowFirstColumn="0" w:firstRowLastColumn="0" w:lastRowFirstColumn="0" w:lastRowLastColumn="0"/>
            <w:tcW w:w="2863" w:type="dxa"/>
            <w:vAlign w:val="center"/>
          </w:tcPr>
          <w:p w14:paraId="481ECCCB" w14:textId="77777777" w:rsidR="00FA5833" w:rsidRPr="00C0352B" w:rsidRDefault="00333717" w:rsidP="00FF312A">
            <w:pPr>
              <w:spacing w:beforeAutospacing="1" w:afterAutospacing="1"/>
              <w:jc w:val="right"/>
            </w:pPr>
            <w:r>
              <w:t>2,008</w:t>
            </w:r>
          </w:p>
        </w:tc>
        <w:tc>
          <w:tcPr>
            <w:cnfStyle w:val="000100000000" w:firstRow="0" w:lastRow="0" w:firstColumn="0" w:lastColumn="1" w:oddVBand="0" w:evenVBand="0" w:oddHBand="0" w:evenHBand="0" w:firstRowFirstColumn="0" w:firstRowLastColumn="0" w:lastRowFirstColumn="0" w:lastRowLastColumn="0"/>
            <w:tcW w:w="2831" w:type="dxa"/>
            <w:vAlign w:val="center"/>
          </w:tcPr>
          <w:p w14:paraId="60A361BC" w14:textId="77777777" w:rsidR="00FA5833" w:rsidRPr="00C0352B" w:rsidRDefault="00333717" w:rsidP="00FF312A">
            <w:pPr>
              <w:spacing w:beforeAutospacing="1" w:afterAutospacing="1"/>
              <w:jc w:val="right"/>
            </w:pPr>
            <w:r>
              <w:t>5,478</w:t>
            </w:r>
          </w:p>
        </w:tc>
      </w:tr>
    </w:tbl>
    <w:p w14:paraId="6E9EBD6D" w14:textId="77777777" w:rsidR="00936F6D" w:rsidRPr="005738BA" w:rsidRDefault="00FA5833" w:rsidP="005738BA">
      <w:pPr>
        <w:pStyle w:val="Caption"/>
        <w:ind w:left="6480"/>
        <w:rPr>
          <w:rFonts w:ascii="Arial" w:hAnsi="Arial" w:cs="Arial"/>
          <w:sz w:val="16"/>
        </w:rPr>
      </w:pPr>
      <w:r w:rsidRPr="00FA5833">
        <w:rPr>
          <w:rFonts w:ascii="Arial" w:hAnsi="Arial" w:cs="Arial"/>
          <w:sz w:val="16"/>
        </w:rPr>
        <w:t xml:space="preserve">Table </w:t>
      </w:r>
      <w:r w:rsidRPr="00FA5833">
        <w:rPr>
          <w:rFonts w:ascii="Arial" w:hAnsi="Arial" w:cs="Arial"/>
          <w:sz w:val="16"/>
        </w:rPr>
        <w:fldChar w:fldCharType="begin"/>
      </w:r>
      <w:r w:rsidRPr="00FA5833">
        <w:rPr>
          <w:rFonts w:ascii="Arial" w:hAnsi="Arial" w:cs="Arial"/>
          <w:sz w:val="16"/>
        </w:rPr>
        <w:instrText xml:space="preserve"> SEQ Table \* ARABIC </w:instrText>
      </w:r>
      <w:r w:rsidRPr="00FA5833">
        <w:rPr>
          <w:rFonts w:ascii="Arial" w:hAnsi="Arial" w:cs="Arial"/>
          <w:sz w:val="16"/>
        </w:rPr>
        <w:fldChar w:fldCharType="separate"/>
      </w:r>
      <w:r w:rsidR="00AA534C">
        <w:rPr>
          <w:rFonts w:ascii="Arial" w:hAnsi="Arial" w:cs="Arial"/>
          <w:noProof/>
          <w:sz w:val="16"/>
        </w:rPr>
        <w:t>18</w:t>
      </w:r>
      <w:r w:rsidRPr="00FA5833">
        <w:rPr>
          <w:rFonts w:ascii="Arial" w:hAnsi="Arial" w:cs="Arial"/>
          <w:sz w:val="16"/>
        </w:rPr>
        <w:fldChar w:fldCharType="end"/>
      </w:r>
      <w:r w:rsidRPr="00FA5833">
        <w:rPr>
          <w:rFonts w:ascii="Arial" w:hAnsi="Arial" w:cs="Arial"/>
          <w:sz w:val="16"/>
        </w:rPr>
        <w:t xml:space="preserve"> – Special Population Served</w:t>
      </w:r>
    </w:p>
    <w:p w14:paraId="5AD5F402" w14:textId="77777777" w:rsidR="00CF1266" w:rsidRDefault="00CF1266">
      <w:pPr>
        <w:rPr>
          <w:rFonts w:cs="Arial"/>
          <w:b/>
          <w:color w:val="335375" w:themeColor="accent3" w:themeShade="BF"/>
          <w:sz w:val="28"/>
          <w:szCs w:val="24"/>
          <w:u w:val="single"/>
        </w:rPr>
      </w:pPr>
      <w:r>
        <w:rPr>
          <w:rFonts w:cs="Arial"/>
          <w:b/>
          <w:color w:val="335375" w:themeColor="accent3" w:themeShade="BF"/>
          <w:sz w:val="28"/>
          <w:u w:val="single"/>
        </w:rPr>
        <w:br w:type="page"/>
      </w:r>
    </w:p>
    <w:p w14:paraId="5CFEE2D7" w14:textId="77777777" w:rsidR="00936F6D" w:rsidRPr="002E4D24" w:rsidRDefault="000305D4" w:rsidP="000305D4">
      <w:pPr>
        <w:pStyle w:val="Default"/>
        <w:jc w:val="center"/>
        <w:rPr>
          <w:rFonts w:ascii="Arial" w:hAnsi="Arial" w:cs="Arial"/>
          <w:b/>
          <w:color w:val="335375" w:themeColor="accent3" w:themeShade="BF"/>
          <w:sz w:val="28"/>
          <w:u w:val="single"/>
        </w:rPr>
      </w:pPr>
      <w:r w:rsidRPr="002E4D24">
        <w:rPr>
          <w:rFonts w:ascii="Arial" w:hAnsi="Arial" w:cs="Arial"/>
          <w:b/>
          <w:color w:val="335375" w:themeColor="accent3" w:themeShade="BF"/>
          <w:sz w:val="28"/>
          <w:u w:val="single"/>
        </w:rPr>
        <w:lastRenderedPageBreak/>
        <w:t xml:space="preserve">CR-70 ESG Assistance Provided (ESG recipients only) </w:t>
      </w:r>
    </w:p>
    <w:p w14:paraId="39514472" w14:textId="77777777" w:rsidR="000305D4" w:rsidRDefault="000305D4" w:rsidP="000305D4">
      <w:pPr>
        <w:pStyle w:val="Default"/>
        <w:jc w:val="center"/>
        <w:rPr>
          <w:rFonts w:ascii="Arial" w:hAnsi="Arial" w:cs="Arial"/>
          <w:b/>
          <w:color w:val="335375" w:themeColor="accent3" w:themeShade="BF"/>
          <w:sz w:val="28"/>
          <w:u w:val="single"/>
        </w:rPr>
      </w:pPr>
    </w:p>
    <w:p w14:paraId="7DBBAA4B" w14:textId="77777777" w:rsidR="000305D4" w:rsidRDefault="000305D4" w:rsidP="000305D4">
      <w:pPr>
        <w:pStyle w:val="Default"/>
        <w:rPr>
          <w:rFonts w:ascii="Arial" w:hAnsi="Arial" w:cs="Arial"/>
          <w:i/>
          <w:color w:val="87A9CB" w:themeColor="accent3" w:themeTint="99"/>
          <w:sz w:val="22"/>
          <w:szCs w:val="22"/>
        </w:rPr>
      </w:pPr>
      <w:r w:rsidRPr="000305D4">
        <w:rPr>
          <w:rFonts w:ascii="Arial" w:hAnsi="Arial" w:cs="Arial"/>
          <w:i/>
          <w:color w:val="87A9CB" w:themeColor="accent3" w:themeTint="99"/>
          <w:sz w:val="22"/>
          <w:szCs w:val="22"/>
        </w:rPr>
        <w:t>Regulation Citation(s): 24 CFR 91.520(g)</w:t>
      </w:r>
    </w:p>
    <w:p w14:paraId="2380FA21" w14:textId="77777777" w:rsidR="000305D4" w:rsidRPr="000305D4" w:rsidRDefault="000305D4" w:rsidP="000305D4">
      <w:pPr>
        <w:pStyle w:val="Default"/>
        <w:rPr>
          <w:rFonts w:ascii="Arial" w:hAnsi="Arial" w:cs="Arial"/>
          <w:i/>
          <w:color w:val="87A9CB" w:themeColor="accent3" w:themeTint="99"/>
          <w:sz w:val="22"/>
          <w:szCs w:val="22"/>
        </w:rPr>
      </w:pPr>
    </w:p>
    <w:p w14:paraId="262FCCBC" w14:textId="0C384423" w:rsidR="003E6342" w:rsidRPr="00D3577E" w:rsidRDefault="003E6342" w:rsidP="003E6342">
      <w:pPr>
        <w:widowControl w:val="0"/>
        <w:spacing w:after="100" w:afterAutospacing="1"/>
        <w:jc w:val="center"/>
        <w:rPr>
          <w:i/>
          <w:color w:val="FF0000"/>
        </w:rPr>
      </w:pPr>
      <w:r w:rsidRPr="004B2A96">
        <w:rPr>
          <w:b/>
          <w:i/>
        </w:rPr>
        <w:t>Please note</w:t>
      </w:r>
      <w:r>
        <w:rPr>
          <w:b/>
          <w:i/>
        </w:rPr>
        <w:t>:</w:t>
      </w:r>
      <w:r w:rsidRPr="003B09E9">
        <w:rPr>
          <w:i/>
          <w:color w:val="FF0000"/>
        </w:rPr>
        <w:t xml:space="preserve"> </w:t>
      </w:r>
      <w:r>
        <w:rPr>
          <w:i/>
          <w:color w:val="FF0000"/>
        </w:rPr>
        <w:t>the data in this</w:t>
      </w:r>
      <w:r w:rsidRPr="00E17F11">
        <w:rPr>
          <w:i/>
          <w:color w:val="FF0000"/>
        </w:rPr>
        <w:t xml:space="preserve"> section </w:t>
      </w:r>
      <w:r>
        <w:rPr>
          <w:i/>
          <w:color w:val="FF0000"/>
        </w:rPr>
        <w:t>may change will be updated as</w:t>
      </w:r>
      <w:r w:rsidRPr="00E17F11">
        <w:rPr>
          <w:i/>
          <w:color w:val="FF0000"/>
        </w:rPr>
        <w:t xml:space="preserve"> relevant data </w:t>
      </w:r>
      <w:r>
        <w:rPr>
          <w:i/>
          <w:color w:val="FF0000"/>
        </w:rPr>
        <w:t>becomes</w:t>
      </w:r>
      <w:r w:rsidRPr="00E17F11">
        <w:rPr>
          <w:i/>
          <w:color w:val="FF0000"/>
        </w:rPr>
        <w:t xml:space="preserve"> available</w:t>
      </w:r>
      <w:r w:rsidRPr="004B2A96">
        <w:rPr>
          <w:i/>
        </w:rPr>
        <w:t>.</w:t>
      </w:r>
      <w:r>
        <w:rPr>
          <w:i/>
        </w:rPr>
        <w:t xml:space="preserve">  </w:t>
      </w:r>
      <w:r w:rsidRPr="00D3577E">
        <w:rPr>
          <w:i/>
          <w:color w:val="FF0000"/>
        </w:rPr>
        <w:t xml:space="preserve">Where data is currently not available X’s have been used to represent where data is missing.  </w:t>
      </w:r>
    </w:p>
    <w:p w14:paraId="260899A2" w14:textId="123EAA9E" w:rsidR="000305D4" w:rsidRPr="00A3111D" w:rsidRDefault="00E6636F" w:rsidP="000305D4">
      <w:pPr>
        <w:keepNext/>
        <w:spacing w:after="200" w:line="276" w:lineRule="auto"/>
        <w:rPr>
          <w:rFonts w:eastAsia="Calibri" w:cs="Arial"/>
          <w:b/>
          <w:szCs w:val="24"/>
        </w:rPr>
      </w:pPr>
      <w:r w:rsidRPr="00A3111D">
        <w:rPr>
          <w:rFonts w:eastAsia="Calibri" w:cs="Arial"/>
          <w:b/>
          <w:szCs w:val="24"/>
        </w:rPr>
        <w:t>10</w:t>
      </w:r>
      <w:r w:rsidR="000305D4" w:rsidRPr="00A3111D">
        <w:rPr>
          <w:rFonts w:eastAsia="Calibri" w:cs="Arial"/>
          <w:b/>
          <w:szCs w:val="24"/>
        </w:rPr>
        <w:t xml:space="preserve">.  Shelter Utilization </w:t>
      </w:r>
    </w:p>
    <w:tbl>
      <w:tblPr>
        <w:tblStyle w:val="GridTable6Colorful-Accent3"/>
        <w:tblW w:w="3346" w:type="pct"/>
        <w:tblInd w:w="1705" w:type="dxa"/>
        <w:tblLayout w:type="fixed"/>
        <w:tblLook w:val="01E0" w:firstRow="1" w:lastRow="1" w:firstColumn="1" w:lastColumn="1" w:noHBand="0" w:noVBand="0"/>
      </w:tblPr>
      <w:tblGrid>
        <w:gridCol w:w="5310"/>
        <w:gridCol w:w="4320"/>
      </w:tblGrid>
      <w:tr w:rsidR="000305D4" w:rsidRPr="003E6342" w14:paraId="1CB06563" w14:textId="77777777" w:rsidTr="00FF3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32FAA6EE" w14:textId="77777777" w:rsidR="000305D4" w:rsidRPr="00684AF2" w:rsidRDefault="000305D4" w:rsidP="000305D4">
            <w:pPr>
              <w:keepNext/>
              <w:ind w:right="432"/>
              <w:jc w:val="both"/>
              <w:rPr>
                <w:rFonts w:eastAsia="Calibri" w:cs="Arial"/>
                <w:b w:val="0"/>
                <w:color w:val="auto"/>
                <w:szCs w:val="24"/>
              </w:rPr>
            </w:pPr>
            <w:r w:rsidRPr="00684AF2">
              <w:rPr>
                <w:rFonts w:eastAsia="Calibri" w:cs="Arial"/>
                <w:b w:val="0"/>
                <w:color w:val="auto"/>
                <w:sz w:val="22"/>
              </w:rPr>
              <w:t xml:space="preserve">Number of New Units – Rehabbed </w:t>
            </w:r>
          </w:p>
        </w:tc>
        <w:tc>
          <w:tcPr>
            <w:cnfStyle w:val="000100000000" w:firstRow="0" w:lastRow="0" w:firstColumn="0" w:lastColumn="1" w:oddVBand="0" w:evenVBand="0" w:oddHBand="0" w:evenHBand="0" w:firstRowFirstColumn="0" w:firstRowLastColumn="0" w:lastRowFirstColumn="0" w:lastRowLastColumn="0"/>
            <w:tcW w:w="4320" w:type="dxa"/>
            <w:shd w:val="clear" w:color="auto" w:fill="FFFFFF" w:themeFill="background1"/>
            <w:vAlign w:val="center"/>
          </w:tcPr>
          <w:p w14:paraId="54E2D273" w14:textId="77777777" w:rsidR="000305D4" w:rsidRPr="003E6342" w:rsidRDefault="00CF1266" w:rsidP="00CF1266">
            <w:pPr>
              <w:keepNext/>
              <w:widowControl w:val="0"/>
              <w:jc w:val="right"/>
              <w:rPr>
                <w:rFonts w:eastAsia="Calibri" w:cs="Arial"/>
                <w:b w:val="0"/>
                <w:color w:val="auto"/>
                <w:sz w:val="22"/>
              </w:rPr>
            </w:pPr>
            <w:r w:rsidRPr="003E6342">
              <w:rPr>
                <w:rFonts w:eastAsia="Calibri" w:cs="Arial"/>
                <w:b w:val="0"/>
                <w:color w:val="auto"/>
                <w:sz w:val="22"/>
              </w:rPr>
              <w:t>X</w:t>
            </w:r>
          </w:p>
        </w:tc>
      </w:tr>
      <w:tr w:rsidR="000305D4" w:rsidRPr="003E6342" w14:paraId="6580A94C" w14:textId="77777777" w:rsidTr="00FF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362E581D" w14:textId="77777777" w:rsidR="000305D4" w:rsidRPr="00684AF2" w:rsidRDefault="000305D4" w:rsidP="000305D4">
            <w:pPr>
              <w:keepNext/>
              <w:ind w:right="432"/>
              <w:jc w:val="both"/>
              <w:rPr>
                <w:rFonts w:eastAsia="Calibri" w:cs="Arial"/>
                <w:b w:val="0"/>
                <w:color w:val="auto"/>
                <w:sz w:val="22"/>
              </w:rPr>
            </w:pPr>
            <w:r w:rsidRPr="00684AF2">
              <w:rPr>
                <w:rFonts w:eastAsia="Calibri" w:cs="Arial"/>
                <w:b w:val="0"/>
                <w:color w:val="auto"/>
                <w:sz w:val="22"/>
              </w:rPr>
              <w:t xml:space="preserve">Number of New Units – Conversion </w:t>
            </w:r>
          </w:p>
        </w:tc>
        <w:tc>
          <w:tcPr>
            <w:cnfStyle w:val="000100000000" w:firstRow="0" w:lastRow="0" w:firstColumn="0" w:lastColumn="1" w:oddVBand="0" w:evenVBand="0" w:oddHBand="0" w:evenHBand="0" w:firstRowFirstColumn="0" w:firstRowLastColumn="0" w:lastRowFirstColumn="0" w:lastRowLastColumn="0"/>
            <w:tcW w:w="4320" w:type="dxa"/>
            <w:shd w:val="clear" w:color="auto" w:fill="FFFFFF" w:themeFill="background1"/>
            <w:vAlign w:val="center"/>
          </w:tcPr>
          <w:p w14:paraId="2AF71F83" w14:textId="77777777" w:rsidR="000305D4" w:rsidRPr="003E6342" w:rsidRDefault="00CF1266" w:rsidP="00CF1266">
            <w:pPr>
              <w:keepNext/>
              <w:widowControl w:val="0"/>
              <w:jc w:val="right"/>
              <w:rPr>
                <w:rFonts w:eastAsia="Calibri" w:cs="Arial"/>
                <w:b w:val="0"/>
                <w:color w:val="auto"/>
                <w:sz w:val="22"/>
              </w:rPr>
            </w:pPr>
            <w:r w:rsidRPr="003E6342">
              <w:rPr>
                <w:rFonts w:eastAsia="Calibri" w:cs="Arial"/>
                <w:b w:val="0"/>
                <w:color w:val="auto"/>
                <w:sz w:val="22"/>
              </w:rPr>
              <w:t>X</w:t>
            </w:r>
          </w:p>
        </w:tc>
      </w:tr>
      <w:tr w:rsidR="000305D4" w:rsidRPr="003E6342" w14:paraId="61108A91" w14:textId="77777777" w:rsidTr="00FF312A">
        <w:tc>
          <w:tcPr>
            <w:cnfStyle w:val="001000000000" w:firstRow="0" w:lastRow="0" w:firstColumn="1" w:lastColumn="0" w:oddVBand="0" w:evenVBand="0" w:oddHBand="0" w:evenHBand="0" w:firstRowFirstColumn="0" w:firstRowLastColumn="0" w:lastRowFirstColumn="0" w:lastRowLastColumn="0"/>
            <w:tcW w:w="5310" w:type="dxa"/>
          </w:tcPr>
          <w:p w14:paraId="13EBB81B" w14:textId="77777777" w:rsidR="000305D4" w:rsidRPr="00684AF2" w:rsidRDefault="000305D4" w:rsidP="000305D4">
            <w:pPr>
              <w:keepNext/>
              <w:ind w:right="432"/>
              <w:jc w:val="both"/>
              <w:rPr>
                <w:rFonts w:eastAsia="Calibri" w:cs="Arial"/>
                <w:b w:val="0"/>
                <w:color w:val="auto"/>
                <w:sz w:val="22"/>
              </w:rPr>
            </w:pPr>
            <w:r w:rsidRPr="00684AF2">
              <w:rPr>
                <w:rFonts w:eastAsia="Calibri" w:cs="Arial"/>
                <w:b w:val="0"/>
                <w:color w:val="auto"/>
                <w:sz w:val="22"/>
              </w:rPr>
              <w:t>Total Number of bed - nights available</w:t>
            </w:r>
          </w:p>
        </w:tc>
        <w:tc>
          <w:tcPr>
            <w:cnfStyle w:val="000100000000" w:firstRow="0" w:lastRow="0" w:firstColumn="0" w:lastColumn="1" w:oddVBand="0" w:evenVBand="0" w:oddHBand="0" w:evenHBand="0" w:firstRowFirstColumn="0" w:firstRowLastColumn="0" w:lastRowFirstColumn="0" w:lastRowLastColumn="0"/>
            <w:tcW w:w="4320" w:type="dxa"/>
            <w:shd w:val="clear" w:color="auto" w:fill="FFFFFF" w:themeFill="background1"/>
            <w:vAlign w:val="center"/>
          </w:tcPr>
          <w:p w14:paraId="5502A213" w14:textId="77777777" w:rsidR="000305D4" w:rsidRPr="003E6342" w:rsidRDefault="005B4F6D" w:rsidP="00CF1266">
            <w:pPr>
              <w:keepNext/>
              <w:widowControl w:val="0"/>
              <w:jc w:val="right"/>
              <w:rPr>
                <w:rFonts w:eastAsia="Calibri" w:cs="Arial"/>
                <w:b w:val="0"/>
                <w:color w:val="auto"/>
                <w:sz w:val="22"/>
              </w:rPr>
            </w:pPr>
            <w:r w:rsidRPr="003E6342">
              <w:rPr>
                <w:rFonts w:eastAsia="Calibri" w:cs="Arial"/>
                <w:b w:val="0"/>
                <w:color w:val="auto"/>
                <w:sz w:val="22"/>
              </w:rPr>
              <w:t>1,094,559</w:t>
            </w:r>
          </w:p>
        </w:tc>
      </w:tr>
      <w:tr w:rsidR="000305D4" w:rsidRPr="003E6342" w14:paraId="3269556F" w14:textId="77777777" w:rsidTr="00FF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52A0CA72" w14:textId="77777777" w:rsidR="000305D4" w:rsidRPr="00684AF2" w:rsidRDefault="000305D4" w:rsidP="000305D4">
            <w:pPr>
              <w:keepNext/>
              <w:ind w:right="432"/>
              <w:jc w:val="both"/>
              <w:rPr>
                <w:rFonts w:eastAsia="Calibri" w:cs="Arial"/>
                <w:b w:val="0"/>
                <w:color w:val="auto"/>
                <w:sz w:val="22"/>
              </w:rPr>
            </w:pPr>
            <w:r w:rsidRPr="00684AF2">
              <w:rPr>
                <w:rFonts w:eastAsia="Calibri" w:cs="Arial"/>
                <w:b w:val="0"/>
                <w:color w:val="auto"/>
                <w:sz w:val="22"/>
              </w:rPr>
              <w:t>Total Number of bed - nights provided</w:t>
            </w:r>
          </w:p>
        </w:tc>
        <w:tc>
          <w:tcPr>
            <w:cnfStyle w:val="000100000000" w:firstRow="0" w:lastRow="0" w:firstColumn="0" w:lastColumn="1" w:oddVBand="0" w:evenVBand="0" w:oddHBand="0" w:evenHBand="0" w:firstRowFirstColumn="0" w:firstRowLastColumn="0" w:lastRowFirstColumn="0" w:lastRowLastColumn="0"/>
            <w:tcW w:w="4320" w:type="dxa"/>
            <w:shd w:val="clear" w:color="auto" w:fill="FFFFFF" w:themeFill="background1"/>
            <w:vAlign w:val="center"/>
          </w:tcPr>
          <w:p w14:paraId="7D835539" w14:textId="77777777" w:rsidR="000305D4" w:rsidRPr="003E6342" w:rsidRDefault="005B4F6D" w:rsidP="00CF1266">
            <w:pPr>
              <w:keepNext/>
              <w:widowControl w:val="0"/>
              <w:jc w:val="right"/>
              <w:rPr>
                <w:rFonts w:eastAsia="Calibri" w:cs="Arial"/>
                <w:b w:val="0"/>
                <w:color w:val="auto"/>
                <w:sz w:val="22"/>
              </w:rPr>
            </w:pPr>
            <w:r w:rsidRPr="003E6342">
              <w:rPr>
                <w:rFonts w:eastAsia="Calibri" w:cs="Arial"/>
                <w:b w:val="0"/>
                <w:color w:val="auto"/>
                <w:sz w:val="22"/>
              </w:rPr>
              <w:t>890,383</w:t>
            </w:r>
          </w:p>
        </w:tc>
      </w:tr>
      <w:tr w:rsidR="000305D4" w:rsidRPr="003E6342" w14:paraId="1C6DCC37" w14:textId="77777777" w:rsidTr="00FF312A">
        <w:trPr>
          <w:cnfStyle w:val="010000000000" w:firstRow="0" w:lastRow="1" w:firstColumn="0" w:lastColumn="0" w:oddVBand="0" w:evenVBand="0" w:oddHBand="0"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5310" w:type="dxa"/>
          </w:tcPr>
          <w:p w14:paraId="0DFF4231" w14:textId="77777777" w:rsidR="000305D4" w:rsidRPr="00684AF2" w:rsidRDefault="000305D4" w:rsidP="000305D4">
            <w:pPr>
              <w:keepNext/>
              <w:ind w:right="432"/>
              <w:jc w:val="both"/>
              <w:rPr>
                <w:rFonts w:eastAsia="Calibri" w:cs="Arial"/>
                <w:b w:val="0"/>
                <w:color w:val="auto"/>
                <w:sz w:val="22"/>
              </w:rPr>
            </w:pPr>
            <w:r w:rsidRPr="00684AF2">
              <w:rPr>
                <w:rFonts w:eastAsia="Calibri" w:cs="Arial"/>
                <w:b w:val="0"/>
                <w:color w:val="auto"/>
                <w:sz w:val="22"/>
              </w:rPr>
              <w:t>Capacity Utilization</w:t>
            </w:r>
          </w:p>
        </w:tc>
        <w:tc>
          <w:tcPr>
            <w:cnfStyle w:val="000100000000" w:firstRow="0" w:lastRow="0" w:firstColumn="0" w:lastColumn="1" w:oddVBand="0" w:evenVBand="0" w:oddHBand="0" w:evenHBand="0" w:firstRowFirstColumn="0" w:firstRowLastColumn="0" w:lastRowFirstColumn="0" w:lastRowLastColumn="0"/>
            <w:tcW w:w="4320" w:type="dxa"/>
            <w:shd w:val="clear" w:color="auto" w:fill="FFFFFF" w:themeFill="background1"/>
            <w:vAlign w:val="center"/>
          </w:tcPr>
          <w:p w14:paraId="149B147D" w14:textId="77777777" w:rsidR="000305D4" w:rsidRPr="003E6342" w:rsidRDefault="00CF1266" w:rsidP="00CF1266">
            <w:pPr>
              <w:keepNext/>
              <w:widowControl w:val="0"/>
              <w:jc w:val="right"/>
              <w:rPr>
                <w:rFonts w:eastAsia="Calibri" w:cs="Arial"/>
                <w:b w:val="0"/>
                <w:color w:val="auto"/>
                <w:sz w:val="22"/>
              </w:rPr>
            </w:pPr>
            <w:r w:rsidRPr="003E6342">
              <w:rPr>
                <w:rFonts w:eastAsia="Calibri" w:cs="Arial"/>
                <w:b w:val="0"/>
                <w:color w:val="auto"/>
                <w:sz w:val="22"/>
              </w:rPr>
              <w:t>X</w:t>
            </w:r>
          </w:p>
        </w:tc>
      </w:tr>
    </w:tbl>
    <w:p w14:paraId="3B40146D" w14:textId="77777777" w:rsidR="000305D4" w:rsidRDefault="000305D4" w:rsidP="000D5A13">
      <w:pPr>
        <w:spacing w:after="0" w:line="240" w:lineRule="auto"/>
        <w:jc w:val="center"/>
        <w:rPr>
          <w:rFonts w:eastAsia="Calibri" w:cs="Arial"/>
          <w:bCs/>
          <w:sz w:val="16"/>
          <w:szCs w:val="20"/>
        </w:rPr>
      </w:pPr>
      <w:r w:rsidRPr="00FF312A">
        <w:rPr>
          <w:rFonts w:eastAsia="Calibri" w:cs="Arial"/>
          <w:bCs/>
          <w:sz w:val="16"/>
          <w:szCs w:val="20"/>
        </w:rPr>
        <w:t xml:space="preserve">Table </w:t>
      </w:r>
      <w:r w:rsidRPr="00FF312A">
        <w:rPr>
          <w:rFonts w:eastAsia="Calibri" w:cs="Arial"/>
          <w:bCs/>
          <w:sz w:val="16"/>
          <w:szCs w:val="20"/>
        </w:rPr>
        <w:fldChar w:fldCharType="begin"/>
      </w:r>
      <w:r w:rsidRPr="00FF312A">
        <w:rPr>
          <w:rFonts w:eastAsia="Calibri" w:cs="Arial"/>
          <w:bCs/>
          <w:sz w:val="16"/>
          <w:szCs w:val="20"/>
        </w:rPr>
        <w:instrText xml:space="preserve"> SEQ Table \* ARABIC </w:instrText>
      </w:r>
      <w:r w:rsidRPr="00FF312A">
        <w:rPr>
          <w:rFonts w:eastAsia="Calibri" w:cs="Arial"/>
          <w:bCs/>
          <w:sz w:val="16"/>
          <w:szCs w:val="20"/>
        </w:rPr>
        <w:fldChar w:fldCharType="separate"/>
      </w:r>
      <w:r w:rsidR="00AA534C">
        <w:rPr>
          <w:rFonts w:eastAsia="Calibri" w:cs="Arial"/>
          <w:bCs/>
          <w:noProof/>
          <w:sz w:val="16"/>
          <w:szCs w:val="20"/>
        </w:rPr>
        <w:t>19</w:t>
      </w:r>
      <w:r w:rsidRPr="00FF312A">
        <w:rPr>
          <w:rFonts w:eastAsia="Calibri" w:cs="Arial"/>
          <w:bCs/>
          <w:sz w:val="16"/>
          <w:szCs w:val="20"/>
        </w:rPr>
        <w:fldChar w:fldCharType="end"/>
      </w:r>
      <w:r w:rsidR="000D5A13" w:rsidRPr="00FF312A">
        <w:rPr>
          <w:rFonts w:eastAsia="Calibri" w:cs="Arial"/>
          <w:bCs/>
          <w:sz w:val="16"/>
          <w:szCs w:val="20"/>
        </w:rPr>
        <w:t xml:space="preserve"> – Shelter Capacity</w:t>
      </w:r>
    </w:p>
    <w:p w14:paraId="245C6727" w14:textId="77777777" w:rsidR="00BA1F82" w:rsidRPr="00FF312A" w:rsidRDefault="00BA1F82" w:rsidP="000D5A13">
      <w:pPr>
        <w:spacing w:after="0" w:line="240" w:lineRule="auto"/>
        <w:jc w:val="center"/>
        <w:rPr>
          <w:rFonts w:eastAsia="Calibri" w:cs="Arial"/>
          <w:bCs/>
          <w:sz w:val="16"/>
          <w:szCs w:val="20"/>
        </w:rPr>
      </w:pPr>
    </w:p>
    <w:p w14:paraId="07EDF693" w14:textId="77777777" w:rsidR="000D5A13" w:rsidRDefault="000D5A13" w:rsidP="000D5A13">
      <w:pPr>
        <w:keepNext/>
        <w:rPr>
          <w:b/>
          <w:szCs w:val="24"/>
        </w:rPr>
      </w:pPr>
      <w:r>
        <w:rPr>
          <w:b/>
          <w:szCs w:val="24"/>
        </w:rPr>
        <w:t xml:space="preserve">11.  Project Outcomes Data measured under the performance standards developed in consultation with the CoC(s) </w:t>
      </w:r>
    </w:p>
    <w:p w14:paraId="4F1909BE" w14:textId="77777777" w:rsidR="000305D4" w:rsidRPr="000D5A13" w:rsidRDefault="000D5A13" w:rsidP="00FF312A">
      <w:pPr>
        <w:spacing w:before="100" w:beforeAutospacing="1" w:after="100" w:afterAutospacing="1"/>
      </w:pPr>
      <w:r>
        <w:rPr>
          <w:rFonts w:cs="Arial"/>
        </w:rPr>
        <w:t xml:space="preserve">See data in the </w:t>
      </w:r>
      <w:r w:rsidRPr="00E6636F">
        <w:rPr>
          <w:rFonts w:cs="Arial"/>
          <w:b/>
        </w:rPr>
        <w:t>e-cart file</w:t>
      </w:r>
      <w:r>
        <w:rPr>
          <w:rFonts w:cs="Arial"/>
        </w:rPr>
        <w:t>.  Additional outcome data will be collected in future years per HUD requirements for HMIS project and system level measures.</w:t>
      </w:r>
      <w:r w:rsidR="000305D4" w:rsidRPr="000305D4">
        <w:rPr>
          <w:rFonts w:eastAsia="Calibri" w:cs="Arial"/>
          <w:b/>
          <w:szCs w:val="24"/>
        </w:rPr>
        <w:t xml:space="preserve"> </w:t>
      </w:r>
    </w:p>
    <w:p w14:paraId="0E979B8A" w14:textId="77777777" w:rsidR="000305D4" w:rsidRDefault="000305D4" w:rsidP="000305D4">
      <w:pPr>
        <w:autoSpaceDE w:val="0"/>
        <w:autoSpaceDN w:val="0"/>
        <w:adjustRightInd w:val="0"/>
        <w:spacing w:after="0" w:line="240" w:lineRule="auto"/>
        <w:rPr>
          <w:rFonts w:cs="Arial"/>
          <w:color w:val="000000"/>
          <w:u w:val="single"/>
        </w:rPr>
      </w:pPr>
    </w:p>
    <w:p w14:paraId="6936A49E" w14:textId="77777777" w:rsidR="00E6636F" w:rsidRDefault="00E6636F">
      <w:pPr>
        <w:rPr>
          <w:rFonts w:cs="Arial"/>
          <w:color w:val="000000"/>
          <w:u w:val="single"/>
        </w:rPr>
      </w:pPr>
      <w:r>
        <w:rPr>
          <w:rFonts w:cs="Arial"/>
          <w:color w:val="000000"/>
          <w:u w:val="single"/>
        </w:rPr>
        <w:br w:type="page"/>
      </w:r>
    </w:p>
    <w:p w14:paraId="70563709" w14:textId="77777777" w:rsidR="00684AF2" w:rsidRPr="00A3111D" w:rsidRDefault="00684AF2" w:rsidP="00684AF2">
      <w:pPr>
        <w:autoSpaceDE w:val="0"/>
        <w:autoSpaceDN w:val="0"/>
        <w:adjustRightInd w:val="0"/>
        <w:spacing w:after="0" w:line="240" w:lineRule="auto"/>
        <w:jc w:val="center"/>
        <w:rPr>
          <w:rFonts w:cs="Arial"/>
          <w:b/>
          <w:color w:val="335375" w:themeColor="accent3" w:themeShade="BF"/>
          <w:sz w:val="28"/>
          <w:u w:val="single"/>
        </w:rPr>
      </w:pPr>
      <w:r w:rsidRPr="00A3111D">
        <w:rPr>
          <w:rFonts w:cs="Arial"/>
          <w:b/>
          <w:color w:val="335375" w:themeColor="accent3" w:themeShade="BF"/>
          <w:sz w:val="28"/>
          <w:u w:val="single"/>
        </w:rPr>
        <w:lastRenderedPageBreak/>
        <w:t>CR-75 ESG Expenditures (ESG Recipients only)</w:t>
      </w:r>
    </w:p>
    <w:p w14:paraId="368A34DA" w14:textId="77777777" w:rsidR="00684AF2" w:rsidRPr="00A3111D" w:rsidRDefault="00684AF2" w:rsidP="00684AF2">
      <w:pPr>
        <w:autoSpaceDE w:val="0"/>
        <w:autoSpaceDN w:val="0"/>
        <w:adjustRightInd w:val="0"/>
        <w:spacing w:after="0" w:line="240" w:lineRule="auto"/>
        <w:jc w:val="center"/>
        <w:rPr>
          <w:rFonts w:cs="Arial"/>
          <w:b/>
          <w:color w:val="335375" w:themeColor="accent3" w:themeShade="BF"/>
          <w:sz w:val="28"/>
          <w:u w:val="single"/>
        </w:rPr>
      </w:pPr>
    </w:p>
    <w:p w14:paraId="6F1A6E47" w14:textId="77777777" w:rsidR="00684AF2" w:rsidRDefault="00684AF2" w:rsidP="00684AF2">
      <w:pPr>
        <w:autoSpaceDE w:val="0"/>
        <w:autoSpaceDN w:val="0"/>
        <w:adjustRightInd w:val="0"/>
        <w:spacing w:after="0" w:line="240" w:lineRule="auto"/>
        <w:rPr>
          <w:i/>
          <w:color w:val="87A9CB" w:themeColor="accent3" w:themeTint="99"/>
          <w:sz w:val="22"/>
        </w:rPr>
      </w:pPr>
      <w:r w:rsidRPr="00684AF2">
        <w:rPr>
          <w:i/>
          <w:color w:val="87A9CB" w:themeColor="accent3" w:themeTint="99"/>
          <w:sz w:val="22"/>
        </w:rPr>
        <w:t>Regulation Citation(s): 24 CFR 91.520(g)</w:t>
      </w:r>
    </w:p>
    <w:p w14:paraId="640586E3" w14:textId="77777777" w:rsidR="00684AF2" w:rsidRDefault="00684AF2" w:rsidP="00684AF2">
      <w:pPr>
        <w:autoSpaceDE w:val="0"/>
        <w:autoSpaceDN w:val="0"/>
        <w:adjustRightInd w:val="0"/>
        <w:spacing w:after="0" w:line="240" w:lineRule="auto"/>
        <w:rPr>
          <w:rFonts w:cs="Arial"/>
          <w:color w:val="335375" w:themeColor="accent3" w:themeShade="BF"/>
        </w:rPr>
      </w:pPr>
    </w:p>
    <w:p w14:paraId="09093EF9" w14:textId="77777777" w:rsidR="00684AF2" w:rsidRPr="00684AF2" w:rsidRDefault="00684AF2" w:rsidP="00684AF2">
      <w:pPr>
        <w:keepNext/>
        <w:rPr>
          <w:b/>
          <w:szCs w:val="24"/>
          <w:u w:val="single"/>
        </w:rPr>
      </w:pPr>
      <w:r w:rsidRPr="00684AF2">
        <w:rPr>
          <w:b/>
          <w:szCs w:val="24"/>
          <w:u w:val="single"/>
        </w:rPr>
        <w:t>11. Expenditures</w:t>
      </w:r>
    </w:p>
    <w:p w14:paraId="42C191E0" w14:textId="77777777" w:rsidR="00684AF2" w:rsidRDefault="00684AF2" w:rsidP="00684AF2">
      <w:pPr>
        <w:keepNext/>
        <w:rPr>
          <w:b/>
          <w:szCs w:val="24"/>
        </w:rPr>
      </w:pPr>
      <w:r>
        <w:rPr>
          <w:b/>
          <w:szCs w:val="24"/>
        </w:rPr>
        <w:t xml:space="preserve">11a. </w:t>
      </w:r>
      <w:r w:rsidRPr="00684AF2">
        <w:rPr>
          <w:b/>
          <w:i/>
          <w:szCs w:val="24"/>
        </w:rPr>
        <w:t>ESG Expenditures for Homelessness Prevention</w:t>
      </w:r>
    </w:p>
    <w:tbl>
      <w:tblPr>
        <w:tblStyle w:val="ListTable3-Accent3"/>
        <w:tblW w:w="5000" w:type="pct"/>
        <w:tblLayout w:type="fixed"/>
        <w:tblLook w:val="01E0" w:firstRow="1" w:lastRow="1" w:firstColumn="1" w:lastColumn="1" w:noHBand="0" w:noVBand="0"/>
      </w:tblPr>
      <w:tblGrid>
        <w:gridCol w:w="6753"/>
        <w:gridCol w:w="2545"/>
        <w:gridCol w:w="2546"/>
        <w:gridCol w:w="2546"/>
      </w:tblGrid>
      <w:tr w:rsidR="00FF312A" w14:paraId="601824EF" w14:textId="77777777" w:rsidTr="000601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90" w:type="dxa"/>
            <w:gridSpan w:val="4"/>
          </w:tcPr>
          <w:p w14:paraId="170619CA" w14:textId="77777777" w:rsidR="00FF312A" w:rsidRDefault="00FF312A" w:rsidP="00B4357F">
            <w:pPr>
              <w:keepNext/>
              <w:jc w:val="center"/>
            </w:pPr>
            <w:r>
              <w:t>Dollar Amount of Expenditures in Program Year</w:t>
            </w:r>
          </w:p>
        </w:tc>
      </w:tr>
      <w:tr w:rsidR="00296F65" w14:paraId="605ED8DC" w14:textId="77777777" w:rsidTr="00FF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shd w:val="clear" w:color="auto" w:fill="87A9CB" w:themeFill="accent3" w:themeFillTint="99"/>
          </w:tcPr>
          <w:p w14:paraId="194DDAC4" w14:textId="77777777" w:rsidR="00684AF2" w:rsidRDefault="00684AF2" w:rsidP="00B4357F">
            <w:pPr>
              <w:keepNext/>
            </w:pPr>
          </w:p>
        </w:tc>
        <w:tc>
          <w:tcPr>
            <w:cnfStyle w:val="000010000000" w:firstRow="0" w:lastRow="0" w:firstColumn="0" w:lastColumn="0" w:oddVBand="1" w:evenVBand="0" w:oddHBand="0" w:evenHBand="0" w:firstRowFirstColumn="0" w:firstRowLastColumn="0" w:lastRowFirstColumn="0" w:lastRowLastColumn="0"/>
            <w:tcW w:w="2545" w:type="dxa"/>
            <w:tcBorders>
              <w:bottom w:val="single" w:sz="4" w:space="0" w:color="auto"/>
            </w:tcBorders>
            <w:shd w:val="clear" w:color="auto" w:fill="87A9CB" w:themeFill="accent3" w:themeFillTint="99"/>
          </w:tcPr>
          <w:p w14:paraId="5ACE40EE" w14:textId="77777777" w:rsidR="00684AF2" w:rsidRPr="00684AF2" w:rsidRDefault="00684AF2" w:rsidP="000D17E9">
            <w:pPr>
              <w:keepNext/>
              <w:spacing w:before="100" w:beforeAutospacing="1" w:after="100" w:afterAutospacing="1"/>
              <w:jc w:val="center"/>
              <w:rPr>
                <w:b/>
                <w:color w:val="FFFFFF" w:themeColor="background1"/>
              </w:rPr>
            </w:pPr>
            <w:r w:rsidRPr="00684AF2">
              <w:rPr>
                <w:b/>
                <w:color w:val="FFFFFF" w:themeColor="background1"/>
              </w:rPr>
              <w:t>201</w:t>
            </w:r>
            <w:r w:rsidR="000D17E9">
              <w:rPr>
                <w:b/>
                <w:color w:val="FFFFFF" w:themeColor="background1"/>
              </w:rPr>
              <w:t>4</w:t>
            </w:r>
          </w:p>
        </w:tc>
        <w:tc>
          <w:tcPr>
            <w:tcW w:w="2546" w:type="dxa"/>
            <w:tcBorders>
              <w:bottom w:val="single" w:sz="4" w:space="0" w:color="auto"/>
            </w:tcBorders>
            <w:shd w:val="clear" w:color="auto" w:fill="87A9CB" w:themeFill="accent3" w:themeFillTint="99"/>
          </w:tcPr>
          <w:p w14:paraId="359DDF5A" w14:textId="77777777" w:rsidR="00684AF2" w:rsidRPr="00684AF2" w:rsidRDefault="00684AF2" w:rsidP="000D17E9">
            <w:pPr>
              <w:keepNext/>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684AF2">
              <w:rPr>
                <w:b/>
                <w:color w:val="FFFFFF" w:themeColor="background1"/>
              </w:rPr>
              <w:t>201</w:t>
            </w:r>
            <w:r w:rsidR="000D17E9">
              <w:rPr>
                <w:b/>
                <w:color w:val="FFFFFF" w:themeColor="background1"/>
              </w:rPr>
              <w:t>5</w:t>
            </w:r>
          </w:p>
        </w:tc>
        <w:tc>
          <w:tcPr>
            <w:cnfStyle w:val="000100000000" w:firstRow="0" w:lastRow="0" w:firstColumn="0" w:lastColumn="1" w:oddVBand="0" w:evenVBand="0" w:oddHBand="0" w:evenHBand="0" w:firstRowFirstColumn="0" w:firstRowLastColumn="0" w:lastRowFirstColumn="0" w:lastRowLastColumn="0"/>
            <w:tcW w:w="2546" w:type="dxa"/>
            <w:tcBorders>
              <w:bottom w:val="single" w:sz="4" w:space="0" w:color="auto"/>
            </w:tcBorders>
            <w:shd w:val="clear" w:color="auto" w:fill="87A9CB" w:themeFill="accent3" w:themeFillTint="99"/>
          </w:tcPr>
          <w:p w14:paraId="048E40F6" w14:textId="77777777" w:rsidR="00684AF2" w:rsidRPr="00684AF2" w:rsidRDefault="00684AF2" w:rsidP="000D17E9">
            <w:pPr>
              <w:keepNext/>
              <w:spacing w:before="100" w:beforeAutospacing="1" w:after="100" w:afterAutospacing="1"/>
              <w:jc w:val="center"/>
              <w:rPr>
                <w:b w:val="0"/>
                <w:color w:val="FFFFFF" w:themeColor="background1"/>
              </w:rPr>
            </w:pPr>
            <w:r w:rsidRPr="00684AF2">
              <w:rPr>
                <w:color w:val="FFFFFF" w:themeColor="background1"/>
              </w:rPr>
              <w:t>201</w:t>
            </w:r>
            <w:r w:rsidR="000D17E9">
              <w:rPr>
                <w:color w:val="FFFFFF" w:themeColor="background1"/>
              </w:rPr>
              <w:t>6</w:t>
            </w:r>
          </w:p>
        </w:tc>
      </w:tr>
      <w:tr w:rsidR="00684AF2" w14:paraId="440FE41D" w14:textId="77777777" w:rsidTr="00FF312A">
        <w:tc>
          <w:tcPr>
            <w:cnfStyle w:val="001000000000" w:firstRow="0" w:lastRow="0" w:firstColumn="1" w:lastColumn="0" w:oddVBand="0" w:evenVBand="0" w:oddHBand="0" w:evenHBand="0" w:firstRowFirstColumn="0" w:firstRowLastColumn="0" w:lastRowFirstColumn="0" w:lastRowLastColumn="0"/>
            <w:tcW w:w="6753" w:type="dxa"/>
            <w:tcBorders>
              <w:right w:val="single" w:sz="4" w:space="0" w:color="auto"/>
            </w:tcBorders>
          </w:tcPr>
          <w:p w14:paraId="31B2524E" w14:textId="77777777" w:rsidR="00684AF2" w:rsidRPr="00684AF2" w:rsidRDefault="00684AF2" w:rsidP="00B4357F">
            <w:pPr>
              <w:keepNext/>
              <w:rPr>
                <w:b w:val="0"/>
              </w:rPr>
            </w:pPr>
            <w:r w:rsidRPr="00684AF2">
              <w:rPr>
                <w:b w:val="0"/>
              </w:rPr>
              <w:t>Expenditures for Rental Assistance</w:t>
            </w:r>
          </w:p>
        </w:tc>
        <w:tc>
          <w:tcPr>
            <w:cnfStyle w:val="000010000000" w:firstRow="0" w:lastRow="0" w:firstColumn="0" w:lastColumn="0" w:oddVBand="1" w:evenVBand="0" w:oddHBand="0" w:evenHBand="0" w:firstRowFirstColumn="0" w:firstRowLastColumn="0" w:lastRowFirstColumn="0" w:lastRowLastColumn="0"/>
            <w:tcW w:w="2545" w:type="dxa"/>
            <w:tcBorders>
              <w:top w:val="single" w:sz="4" w:space="0" w:color="auto"/>
              <w:left w:val="single" w:sz="4" w:space="0" w:color="auto"/>
              <w:bottom w:val="single" w:sz="4" w:space="0" w:color="auto"/>
              <w:right w:val="single" w:sz="4" w:space="0" w:color="auto"/>
            </w:tcBorders>
            <w:vAlign w:val="center"/>
          </w:tcPr>
          <w:p w14:paraId="210C40C5" w14:textId="77777777" w:rsidR="00684AF2" w:rsidRPr="00C0352B" w:rsidRDefault="000D17E9" w:rsidP="000D17E9">
            <w:pPr>
              <w:keepNext/>
              <w:jc w:val="right"/>
            </w:pPr>
            <w:r>
              <w:t>130,763</w:t>
            </w:r>
          </w:p>
        </w:tc>
        <w:tc>
          <w:tcPr>
            <w:tcW w:w="2546" w:type="dxa"/>
            <w:tcBorders>
              <w:top w:val="single" w:sz="4" w:space="0" w:color="auto"/>
              <w:left w:val="single" w:sz="4" w:space="0" w:color="auto"/>
              <w:bottom w:val="single" w:sz="4" w:space="0" w:color="auto"/>
              <w:right w:val="single" w:sz="4" w:space="0" w:color="auto"/>
            </w:tcBorders>
            <w:vAlign w:val="center"/>
          </w:tcPr>
          <w:p w14:paraId="6E1D9583" w14:textId="77777777" w:rsidR="00684AF2" w:rsidRPr="00C0352B" w:rsidRDefault="000D17E9" w:rsidP="00FF312A">
            <w:pPr>
              <w:keepNext/>
              <w:jc w:val="right"/>
              <w:cnfStyle w:val="000000000000" w:firstRow="0" w:lastRow="0" w:firstColumn="0" w:lastColumn="0" w:oddVBand="0" w:evenVBand="0" w:oddHBand="0" w:evenHBand="0" w:firstRowFirstColumn="0" w:firstRowLastColumn="0" w:lastRowFirstColumn="0" w:lastRowLastColumn="0"/>
            </w:pPr>
            <w:r>
              <w:t>183,709</w:t>
            </w:r>
          </w:p>
        </w:tc>
        <w:tc>
          <w:tcPr>
            <w:cnfStyle w:val="000100000000" w:firstRow="0" w:lastRow="0" w:firstColumn="0" w:lastColumn="1" w:oddVBand="0" w:evenVBand="0" w:oddHBand="0" w:evenHBand="0" w:firstRowFirstColumn="0" w:firstRowLastColumn="0" w:lastRowFirstColumn="0" w:lastRowLastColumn="0"/>
            <w:tcW w:w="2546" w:type="dxa"/>
            <w:tcBorders>
              <w:top w:val="single" w:sz="4" w:space="0" w:color="auto"/>
              <w:left w:val="single" w:sz="4" w:space="0" w:color="auto"/>
              <w:bottom w:val="single" w:sz="4" w:space="0" w:color="auto"/>
              <w:right w:val="single" w:sz="4" w:space="0" w:color="auto"/>
            </w:tcBorders>
            <w:vAlign w:val="center"/>
          </w:tcPr>
          <w:p w14:paraId="7FFDBB85" w14:textId="77777777" w:rsidR="00684AF2" w:rsidRPr="00C0352B" w:rsidRDefault="003C64D8" w:rsidP="00FF312A">
            <w:pPr>
              <w:keepNext/>
              <w:jc w:val="right"/>
              <w:rPr>
                <w:b w:val="0"/>
              </w:rPr>
            </w:pPr>
            <w:r>
              <w:rPr>
                <w:b w:val="0"/>
              </w:rPr>
              <w:t>64,627</w:t>
            </w:r>
          </w:p>
        </w:tc>
      </w:tr>
      <w:tr w:rsidR="00684AF2" w14:paraId="45E78C45" w14:textId="77777777" w:rsidTr="00FF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tcBorders>
              <w:right w:val="single" w:sz="4" w:space="0" w:color="auto"/>
            </w:tcBorders>
          </w:tcPr>
          <w:p w14:paraId="30AEFDAF" w14:textId="77777777" w:rsidR="00684AF2" w:rsidRPr="00684AF2" w:rsidRDefault="00684AF2" w:rsidP="00B4357F">
            <w:pPr>
              <w:keepNext/>
              <w:rPr>
                <w:b w:val="0"/>
                <w:szCs w:val="24"/>
              </w:rPr>
            </w:pPr>
            <w:r w:rsidRPr="00684AF2">
              <w:rPr>
                <w:b w:val="0"/>
              </w:rPr>
              <w:t>Expenditures for Housing Relocation and Stabilization Services - Financial Assistance</w:t>
            </w:r>
          </w:p>
        </w:tc>
        <w:tc>
          <w:tcPr>
            <w:cnfStyle w:val="000010000000" w:firstRow="0" w:lastRow="0" w:firstColumn="0" w:lastColumn="0" w:oddVBand="1" w:evenVBand="0" w:oddHBand="0" w:evenHBand="0" w:firstRowFirstColumn="0" w:firstRowLastColumn="0" w:lastRowFirstColumn="0" w:lastRowLastColumn="0"/>
            <w:tcW w:w="2545" w:type="dxa"/>
            <w:tcBorders>
              <w:top w:val="single" w:sz="4" w:space="0" w:color="auto"/>
              <w:left w:val="single" w:sz="4" w:space="0" w:color="auto"/>
              <w:bottom w:val="single" w:sz="4" w:space="0" w:color="auto"/>
              <w:right w:val="single" w:sz="4" w:space="0" w:color="auto"/>
            </w:tcBorders>
            <w:vAlign w:val="center"/>
          </w:tcPr>
          <w:p w14:paraId="4446F18C" w14:textId="77777777" w:rsidR="00684AF2" w:rsidRPr="00C0352B" w:rsidRDefault="000D17E9" w:rsidP="00FF312A">
            <w:pPr>
              <w:keepNext/>
              <w:jc w:val="right"/>
            </w:pPr>
            <w:r>
              <w:t>43,141</w:t>
            </w:r>
          </w:p>
        </w:tc>
        <w:tc>
          <w:tcPr>
            <w:tcW w:w="2546" w:type="dxa"/>
            <w:tcBorders>
              <w:top w:val="single" w:sz="4" w:space="0" w:color="auto"/>
              <w:left w:val="single" w:sz="4" w:space="0" w:color="auto"/>
              <w:bottom w:val="single" w:sz="4" w:space="0" w:color="auto"/>
              <w:right w:val="single" w:sz="4" w:space="0" w:color="auto"/>
            </w:tcBorders>
            <w:vAlign w:val="center"/>
          </w:tcPr>
          <w:p w14:paraId="70AD72EE" w14:textId="77777777" w:rsidR="00684AF2" w:rsidRPr="00C0352B" w:rsidRDefault="000D17E9" w:rsidP="00FF312A">
            <w:pPr>
              <w:keepNext/>
              <w:jc w:val="right"/>
              <w:cnfStyle w:val="000000100000" w:firstRow="0" w:lastRow="0" w:firstColumn="0" w:lastColumn="0" w:oddVBand="0" w:evenVBand="0" w:oddHBand="1" w:evenHBand="0" w:firstRowFirstColumn="0" w:firstRowLastColumn="0" w:lastRowFirstColumn="0" w:lastRowLastColumn="0"/>
            </w:pPr>
            <w:r>
              <w:t>116,142</w:t>
            </w:r>
          </w:p>
        </w:tc>
        <w:tc>
          <w:tcPr>
            <w:cnfStyle w:val="000100000000" w:firstRow="0" w:lastRow="0" w:firstColumn="0" w:lastColumn="1" w:oddVBand="0" w:evenVBand="0" w:oddHBand="0" w:evenHBand="0" w:firstRowFirstColumn="0" w:firstRowLastColumn="0" w:lastRowFirstColumn="0" w:lastRowLastColumn="0"/>
            <w:tcW w:w="2546" w:type="dxa"/>
            <w:tcBorders>
              <w:top w:val="single" w:sz="4" w:space="0" w:color="auto"/>
              <w:left w:val="single" w:sz="4" w:space="0" w:color="auto"/>
              <w:bottom w:val="single" w:sz="4" w:space="0" w:color="auto"/>
              <w:right w:val="single" w:sz="4" w:space="0" w:color="auto"/>
            </w:tcBorders>
            <w:vAlign w:val="center"/>
          </w:tcPr>
          <w:p w14:paraId="491F03F4" w14:textId="77777777" w:rsidR="00684AF2" w:rsidRPr="00C0352B" w:rsidRDefault="003C64D8" w:rsidP="00FF312A">
            <w:pPr>
              <w:keepNext/>
              <w:jc w:val="right"/>
              <w:rPr>
                <w:b w:val="0"/>
              </w:rPr>
            </w:pPr>
            <w:r>
              <w:rPr>
                <w:b w:val="0"/>
              </w:rPr>
              <w:t>25,464</w:t>
            </w:r>
          </w:p>
        </w:tc>
      </w:tr>
      <w:tr w:rsidR="00684AF2" w14:paraId="0DE4CA68" w14:textId="77777777" w:rsidTr="00FF312A">
        <w:tc>
          <w:tcPr>
            <w:cnfStyle w:val="001000000000" w:firstRow="0" w:lastRow="0" w:firstColumn="1" w:lastColumn="0" w:oddVBand="0" w:evenVBand="0" w:oddHBand="0" w:evenHBand="0" w:firstRowFirstColumn="0" w:firstRowLastColumn="0" w:lastRowFirstColumn="0" w:lastRowLastColumn="0"/>
            <w:tcW w:w="6753" w:type="dxa"/>
            <w:tcBorders>
              <w:right w:val="single" w:sz="4" w:space="0" w:color="auto"/>
            </w:tcBorders>
          </w:tcPr>
          <w:p w14:paraId="5EFD0ABB" w14:textId="77777777" w:rsidR="00684AF2" w:rsidRPr="00684AF2" w:rsidRDefault="00684AF2" w:rsidP="00B4357F">
            <w:pPr>
              <w:keepNext/>
              <w:rPr>
                <w:b w:val="0"/>
                <w:szCs w:val="24"/>
              </w:rPr>
            </w:pPr>
            <w:r w:rsidRPr="00684AF2">
              <w:rPr>
                <w:b w:val="0"/>
              </w:rPr>
              <w:t>Expenditures for Housing Relocation &amp; Stabilization Services - Services</w:t>
            </w:r>
          </w:p>
        </w:tc>
        <w:tc>
          <w:tcPr>
            <w:cnfStyle w:val="000010000000" w:firstRow="0" w:lastRow="0" w:firstColumn="0" w:lastColumn="0" w:oddVBand="1" w:evenVBand="0" w:oddHBand="0" w:evenHBand="0" w:firstRowFirstColumn="0" w:firstRowLastColumn="0" w:lastRowFirstColumn="0" w:lastRowLastColumn="0"/>
            <w:tcW w:w="2545" w:type="dxa"/>
            <w:tcBorders>
              <w:top w:val="single" w:sz="4" w:space="0" w:color="auto"/>
              <w:left w:val="single" w:sz="4" w:space="0" w:color="auto"/>
              <w:bottom w:val="single" w:sz="4" w:space="0" w:color="auto"/>
              <w:right w:val="single" w:sz="4" w:space="0" w:color="auto"/>
            </w:tcBorders>
            <w:vAlign w:val="center"/>
          </w:tcPr>
          <w:p w14:paraId="2C9195B4" w14:textId="77777777" w:rsidR="00684AF2" w:rsidRPr="00C0352B" w:rsidRDefault="000D17E9" w:rsidP="00FF312A">
            <w:pPr>
              <w:keepNext/>
              <w:jc w:val="right"/>
            </w:pPr>
            <w:r>
              <w:t>111,012</w:t>
            </w:r>
          </w:p>
        </w:tc>
        <w:tc>
          <w:tcPr>
            <w:tcW w:w="2546" w:type="dxa"/>
            <w:tcBorders>
              <w:top w:val="single" w:sz="4" w:space="0" w:color="auto"/>
              <w:left w:val="single" w:sz="4" w:space="0" w:color="auto"/>
              <w:bottom w:val="single" w:sz="4" w:space="0" w:color="auto"/>
              <w:right w:val="single" w:sz="4" w:space="0" w:color="auto"/>
            </w:tcBorders>
            <w:vAlign w:val="center"/>
          </w:tcPr>
          <w:p w14:paraId="6828F833" w14:textId="77777777" w:rsidR="00684AF2" w:rsidRPr="00C0352B" w:rsidRDefault="000D17E9" w:rsidP="00FF312A">
            <w:pPr>
              <w:keepNext/>
              <w:jc w:val="right"/>
              <w:cnfStyle w:val="000000000000" w:firstRow="0" w:lastRow="0" w:firstColumn="0" w:lastColumn="0" w:oddVBand="0" w:evenVBand="0" w:oddHBand="0" w:evenHBand="0" w:firstRowFirstColumn="0" w:firstRowLastColumn="0" w:lastRowFirstColumn="0" w:lastRowLastColumn="0"/>
            </w:pPr>
            <w:r>
              <w:t>176,345</w:t>
            </w:r>
          </w:p>
        </w:tc>
        <w:tc>
          <w:tcPr>
            <w:cnfStyle w:val="000100000000" w:firstRow="0" w:lastRow="0" w:firstColumn="0" w:lastColumn="1" w:oddVBand="0" w:evenVBand="0" w:oddHBand="0" w:evenHBand="0" w:firstRowFirstColumn="0" w:firstRowLastColumn="0" w:lastRowFirstColumn="0" w:lastRowLastColumn="0"/>
            <w:tcW w:w="2546" w:type="dxa"/>
            <w:tcBorders>
              <w:top w:val="single" w:sz="4" w:space="0" w:color="auto"/>
              <w:left w:val="single" w:sz="4" w:space="0" w:color="auto"/>
              <w:bottom w:val="single" w:sz="4" w:space="0" w:color="auto"/>
              <w:right w:val="single" w:sz="4" w:space="0" w:color="auto"/>
            </w:tcBorders>
            <w:vAlign w:val="center"/>
          </w:tcPr>
          <w:p w14:paraId="06C6A641" w14:textId="77777777" w:rsidR="00684AF2" w:rsidRPr="00C0352B" w:rsidRDefault="003C64D8" w:rsidP="00FF312A">
            <w:pPr>
              <w:keepNext/>
              <w:jc w:val="right"/>
              <w:rPr>
                <w:b w:val="0"/>
              </w:rPr>
            </w:pPr>
            <w:r>
              <w:rPr>
                <w:b w:val="0"/>
              </w:rPr>
              <w:t>11,673</w:t>
            </w:r>
          </w:p>
        </w:tc>
      </w:tr>
      <w:tr w:rsidR="00684AF2" w14:paraId="2369382C" w14:textId="77777777" w:rsidTr="00FF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tcBorders>
              <w:right w:val="single" w:sz="4" w:space="0" w:color="auto"/>
            </w:tcBorders>
          </w:tcPr>
          <w:p w14:paraId="1D35B380" w14:textId="77777777" w:rsidR="00684AF2" w:rsidRPr="00684AF2" w:rsidRDefault="00684AF2" w:rsidP="00B4357F">
            <w:pPr>
              <w:keepNext/>
              <w:rPr>
                <w:b w:val="0"/>
                <w:szCs w:val="24"/>
              </w:rPr>
            </w:pPr>
            <w:r w:rsidRPr="00684AF2">
              <w:rPr>
                <w:b w:val="0"/>
              </w:rPr>
              <w:t>Expenditures for Homeless Prevention under Emergency Shelter Grants Program</w:t>
            </w:r>
          </w:p>
        </w:tc>
        <w:tc>
          <w:tcPr>
            <w:cnfStyle w:val="000010000000" w:firstRow="0" w:lastRow="0" w:firstColumn="0" w:lastColumn="0" w:oddVBand="1" w:evenVBand="0" w:oddHBand="0" w:evenHBand="0" w:firstRowFirstColumn="0" w:firstRowLastColumn="0" w:lastRowFirstColumn="0" w:lastRowLastColumn="0"/>
            <w:tcW w:w="2545" w:type="dxa"/>
            <w:tcBorders>
              <w:top w:val="single" w:sz="4" w:space="0" w:color="auto"/>
              <w:left w:val="single" w:sz="4" w:space="0" w:color="auto"/>
              <w:bottom w:val="single" w:sz="4" w:space="0" w:color="auto"/>
              <w:right w:val="single" w:sz="4" w:space="0" w:color="auto"/>
            </w:tcBorders>
            <w:vAlign w:val="center"/>
          </w:tcPr>
          <w:p w14:paraId="3034066D" w14:textId="77777777" w:rsidR="00684AF2" w:rsidRPr="00C0352B" w:rsidRDefault="000D17E9" w:rsidP="00FF312A">
            <w:pPr>
              <w:keepNext/>
              <w:jc w:val="right"/>
            </w:pPr>
            <w:r>
              <w:t>0</w:t>
            </w:r>
          </w:p>
        </w:tc>
        <w:tc>
          <w:tcPr>
            <w:tcW w:w="2546" w:type="dxa"/>
            <w:tcBorders>
              <w:top w:val="single" w:sz="4" w:space="0" w:color="auto"/>
              <w:left w:val="single" w:sz="4" w:space="0" w:color="auto"/>
              <w:bottom w:val="single" w:sz="4" w:space="0" w:color="auto"/>
              <w:right w:val="single" w:sz="4" w:space="0" w:color="auto"/>
            </w:tcBorders>
            <w:vAlign w:val="center"/>
          </w:tcPr>
          <w:p w14:paraId="56E73DAA" w14:textId="77777777" w:rsidR="00684AF2" w:rsidRPr="00C0352B" w:rsidRDefault="000D17E9" w:rsidP="00FF312A">
            <w:pPr>
              <w:keepNext/>
              <w:jc w:val="right"/>
              <w:cnfStyle w:val="000000100000" w:firstRow="0" w:lastRow="0" w:firstColumn="0" w:lastColumn="0" w:oddVBand="0" w:evenVBand="0" w:oddHBand="1"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2546" w:type="dxa"/>
            <w:tcBorders>
              <w:top w:val="single" w:sz="4" w:space="0" w:color="auto"/>
              <w:left w:val="single" w:sz="4" w:space="0" w:color="auto"/>
              <w:bottom w:val="single" w:sz="4" w:space="0" w:color="auto"/>
              <w:right w:val="single" w:sz="4" w:space="0" w:color="auto"/>
            </w:tcBorders>
            <w:vAlign w:val="center"/>
          </w:tcPr>
          <w:p w14:paraId="00359A33" w14:textId="77777777" w:rsidR="00684AF2" w:rsidRPr="00C0352B" w:rsidRDefault="003C64D8" w:rsidP="00FF312A">
            <w:pPr>
              <w:keepNext/>
              <w:jc w:val="right"/>
              <w:rPr>
                <w:b w:val="0"/>
              </w:rPr>
            </w:pPr>
            <w:r>
              <w:rPr>
                <w:b w:val="0"/>
              </w:rPr>
              <w:t>0</w:t>
            </w:r>
          </w:p>
        </w:tc>
      </w:tr>
      <w:tr w:rsidR="00684AF2" w14:paraId="30062721" w14:textId="77777777" w:rsidTr="00FF312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6753" w:type="dxa"/>
            <w:tcBorders>
              <w:right w:val="single" w:sz="4" w:space="0" w:color="auto"/>
            </w:tcBorders>
          </w:tcPr>
          <w:p w14:paraId="169CB8D2" w14:textId="77777777" w:rsidR="00684AF2" w:rsidRPr="00684AF2" w:rsidRDefault="00684AF2" w:rsidP="00B4357F">
            <w:pPr>
              <w:keepNext/>
              <w:rPr>
                <w:b w:val="0"/>
              </w:rPr>
            </w:pPr>
            <w:r w:rsidRPr="00684AF2">
              <w:rPr>
                <w:b w:val="0"/>
              </w:rPr>
              <w:t>Subtotal Homelessness Prevention</w:t>
            </w:r>
          </w:p>
        </w:tc>
        <w:tc>
          <w:tcPr>
            <w:cnfStyle w:val="000010000000" w:firstRow="0" w:lastRow="0" w:firstColumn="0" w:lastColumn="0" w:oddVBand="1" w:evenVBand="0" w:oddHBand="0" w:evenHBand="0" w:firstRowFirstColumn="0" w:firstRowLastColumn="0" w:lastRowFirstColumn="0" w:lastRowLastColumn="0"/>
            <w:tcW w:w="2545" w:type="dxa"/>
            <w:tcBorders>
              <w:top w:val="single" w:sz="4" w:space="0" w:color="auto"/>
              <w:left w:val="single" w:sz="4" w:space="0" w:color="auto"/>
              <w:bottom w:val="single" w:sz="4" w:space="0" w:color="auto"/>
              <w:right w:val="single" w:sz="4" w:space="0" w:color="auto"/>
            </w:tcBorders>
            <w:vAlign w:val="center"/>
          </w:tcPr>
          <w:p w14:paraId="156B0112" w14:textId="77777777" w:rsidR="00684AF2" w:rsidRPr="003C64D8" w:rsidRDefault="003C64D8" w:rsidP="00FF312A">
            <w:pPr>
              <w:keepNext/>
              <w:jc w:val="right"/>
            </w:pPr>
            <w:r>
              <w:t>284,916</w:t>
            </w:r>
          </w:p>
        </w:tc>
        <w:tc>
          <w:tcPr>
            <w:tcW w:w="2546" w:type="dxa"/>
            <w:tcBorders>
              <w:top w:val="single" w:sz="4" w:space="0" w:color="auto"/>
              <w:left w:val="single" w:sz="4" w:space="0" w:color="auto"/>
              <w:bottom w:val="single" w:sz="4" w:space="0" w:color="auto"/>
              <w:right w:val="single" w:sz="4" w:space="0" w:color="auto"/>
            </w:tcBorders>
            <w:vAlign w:val="center"/>
          </w:tcPr>
          <w:p w14:paraId="4514CC88" w14:textId="77777777" w:rsidR="00684AF2" w:rsidRPr="003C64D8" w:rsidRDefault="003C64D8" w:rsidP="00FF312A">
            <w:pPr>
              <w:keepNext/>
              <w:jc w:val="right"/>
              <w:cnfStyle w:val="010000000000" w:firstRow="0" w:lastRow="1" w:firstColumn="0" w:lastColumn="0" w:oddVBand="0" w:evenVBand="0" w:oddHBand="0" w:evenHBand="0" w:firstRowFirstColumn="0" w:firstRowLastColumn="0" w:lastRowFirstColumn="0" w:lastRowLastColumn="0"/>
            </w:pPr>
            <w:r>
              <w:t>476,196</w:t>
            </w:r>
          </w:p>
        </w:tc>
        <w:tc>
          <w:tcPr>
            <w:cnfStyle w:val="000100000010" w:firstRow="0" w:lastRow="0" w:firstColumn="0" w:lastColumn="1" w:oddVBand="0" w:evenVBand="0" w:oddHBand="0" w:evenHBand="0" w:firstRowFirstColumn="0" w:firstRowLastColumn="0" w:lastRowFirstColumn="0" w:lastRowLastColumn="1"/>
            <w:tcW w:w="2546" w:type="dxa"/>
            <w:tcBorders>
              <w:top w:val="single" w:sz="4" w:space="0" w:color="auto"/>
              <w:left w:val="single" w:sz="4" w:space="0" w:color="auto"/>
              <w:bottom w:val="single" w:sz="4" w:space="0" w:color="auto"/>
              <w:right w:val="single" w:sz="4" w:space="0" w:color="auto"/>
            </w:tcBorders>
            <w:vAlign w:val="center"/>
          </w:tcPr>
          <w:p w14:paraId="49F751B3" w14:textId="77777777" w:rsidR="00684AF2" w:rsidRPr="003C64D8" w:rsidRDefault="003C64D8" w:rsidP="00FF312A">
            <w:pPr>
              <w:keepNext/>
              <w:jc w:val="right"/>
            </w:pPr>
            <w:r>
              <w:t>101,764</w:t>
            </w:r>
          </w:p>
        </w:tc>
      </w:tr>
    </w:tbl>
    <w:p w14:paraId="7717F46D" w14:textId="77777777" w:rsidR="00684AF2" w:rsidRPr="00684AF2" w:rsidRDefault="00684AF2" w:rsidP="00684AF2">
      <w:pPr>
        <w:pStyle w:val="Caption"/>
        <w:jc w:val="center"/>
        <w:rPr>
          <w:rFonts w:ascii="Arial" w:hAnsi="Arial" w:cs="Arial"/>
          <w:sz w:val="16"/>
        </w:rPr>
      </w:pPr>
      <w:r w:rsidRPr="00684AF2">
        <w:rPr>
          <w:rFonts w:ascii="Arial" w:hAnsi="Arial" w:cs="Arial"/>
          <w:sz w:val="16"/>
        </w:rPr>
        <w:t xml:space="preserve">Table </w:t>
      </w:r>
      <w:r w:rsidRPr="00684AF2">
        <w:rPr>
          <w:rFonts w:ascii="Arial" w:hAnsi="Arial" w:cs="Arial"/>
          <w:sz w:val="16"/>
        </w:rPr>
        <w:fldChar w:fldCharType="begin"/>
      </w:r>
      <w:r w:rsidRPr="00684AF2">
        <w:rPr>
          <w:rFonts w:ascii="Arial" w:hAnsi="Arial" w:cs="Arial"/>
          <w:sz w:val="16"/>
        </w:rPr>
        <w:instrText xml:space="preserve"> SEQ Table \* ARABIC </w:instrText>
      </w:r>
      <w:r w:rsidRPr="00684AF2">
        <w:rPr>
          <w:rFonts w:ascii="Arial" w:hAnsi="Arial" w:cs="Arial"/>
          <w:sz w:val="16"/>
        </w:rPr>
        <w:fldChar w:fldCharType="separate"/>
      </w:r>
      <w:r w:rsidR="00AA534C">
        <w:rPr>
          <w:rFonts w:ascii="Arial" w:hAnsi="Arial" w:cs="Arial"/>
          <w:noProof/>
          <w:sz w:val="16"/>
        </w:rPr>
        <w:t>20</w:t>
      </w:r>
      <w:r w:rsidRPr="00684AF2">
        <w:rPr>
          <w:rFonts w:ascii="Arial" w:hAnsi="Arial" w:cs="Arial"/>
          <w:sz w:val="16"/>
        </w:rPr>
        <w:fldChar w:fldCharType="end"/>
      </w:r>
      <w:r w:rsidRPr="00684AF2">
        <w:rPr>
          <w:rFonts w:ascii="Arial" w:hAnsi="Arial" w:cs="Arial"/>
          <w:sz w:val="16"/>
        </w:rPr>
        <w:t xml:space="preserve"> – ESG Expenditures for Homelessness Prevention</w:t>
      </w:r>
    </w:p>
    <w:p w14:paraId="6D08F8D3" w14:textId="77777777" w:rsidR="00684AF2" w:rsidRDefault="00684AF2" w:rsidP="00684AF2">
      <w:pPr>
        <w:rPr>
          <w:rFonts w:cs="Arial"/>
        </w:rPr>
      </w:pPr>
    </w:p>
    <w:p w14:paraId="0C3EA0FB" w14:textId="77777777" w:rsidR="00684AF2" w:rsidRDefault="00684AF2" w:rsidP="00684AF2">
      <w:pPr>
        <w:keepNext/>
        <w:rPr>
          <w:b/>
          <w:szCs w:val="24"/>
        </w:rPr>
      </w:pPr>
      <w:r>
        <w:rPr>
          <w:b/>
          <w:szCs w:val="24"/>
        </w:rPr>
        <w:t xml:space="preserve">11b. </w:t>
      </w:r>
      <w:r w:rsidRPr="00296F65">
        <w:rPr>
          <w:b/>
          <w:i/>
          <w:szCs w:val="24"/>
        </w:rPr>
        <w:t>ESG Expenditures for Rapid Re-Housing</w:t>
      </w:r>
    </w:p>
    <w:tbl>
      <w:tblPr>
        <w:tblStyle w:val="ListTable3-Accent3"/>
        <w:tblW w:w="5000" w:type="pct"/>
        <w:tblLayout w:type="fixed"/>
        <w:tblLook w:val="01E0" w:firstRow="1" w:lastRow="1" w:firstColumn="1" w:lastColumn="1" w:noHBand="0" w:noVBand="0"/>
      </w:tblPr>
      <w:tblGrid>
        <w:gridCol w:w="6753"/>
        <w:gridCol w:w="2545"/>
        <w:gridCol w:w="2546"/>
        <w:gridCol w:w="2546"/>
      </w:tblGrid>
      <w:tr w:rsidR="00FF312A" w14:paraId="2C28E59F" w14:textId="77777777" w:rsidTr="000D17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95" w:type="dxa"/>
            <w:gridSpan w:val="4"/>
          </w:tcPr>
          <w:p w14:paraId="59B26711" w14:textId="77777777" w:rsidR="00FF312A" w:rsidRDefault="00FF312A" w:rsidP="00B4357F">
            <w:pPr>
              <w:keepNext/>
              <w:jc w:val="center"/>
            </w:pPr>
            <w:r>
              <w:t>Dollar Amount of Expenditures in Program Year</w:t>
            </w:r>
          </w:p>
        </w:tc>
      </w:tr>
      <w:tr w:rsidR="000D17E9" w14:paraId="133644FB" w14:textId="77777777" w:rsidTr="000D1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5" w:type="dxa"/>
            <w:shd w:val="clear" w:color="auto" w:fill="87A9CB" w:themeFill="accent3" w:themeFillTint="99"/>
          </w:tcPr>
          <w:p w14:paraId="37FDD490" w14:textId="77777777" w:rsidR="000D17E9" w:rsidRPr="00296F65" w:rsidRDefault="000D17E9" w:rsidP="000D17E9">
            <w:pPr>
              <w:keepNext/>
              <w:rPr>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2546" w:type="dxa"/>
            <w:tcBorders>
              <w:bottom w:val="single" w:sz="4" w:space="0" w:color="auto"/>
            </w:tcBorders>
            <w:shd w:val="clear" w:color="auto" w:fill="87A9CB" w:themeFill="accent3" w:themeFillTint="99"/>
          </w:tcPr>
          <w:p w14:paraId="1FD05CF3" w14:textId="77777777" w:rsidR="000D17E9" w:rsidRPr="00296F65" w:rsidRDefault="000D17E9" w:rsidP="000D17E9">
            <w:pPr>
              <w:keepNext/>
              <w:spacing w:beforeAutospacing="1" w:afterAutospacing="1"/>
              <w:jc w:val="center"/>
              <w:rPr>
                <w:b/>
                <w:color w:val="FFFFFF" w:themeColor="background1"/>
              </w:rPr>
            </w:pPr>
            <w:r w:rsidRPr="00684AF2">
              <w:rPr>
                <w:b/>
                <w:color w:val="FFFFFF" w:themeColor="background1"/>
              </w:rPr>
              <w:t>201</w:t>
            </w:r>
            <w:r>
              <w:rPr>
                <w:b/>
                <w:color w:val="FFFFFF" w:themeColor="background1"/>
              </w:rPr>
              <w:t>4</w:t>
            </w:r>
          </w:p>
        </w:tc>
        <w:tc>
          <w:tcPr>
            <w:tcW w:w="2547" w:type="dxa"/>
            <w:tcBorders>
              <w:bottom w:val="single" w:sz="4" w:space="0" w:color="auto"/>
            </w:tcBorders>
            <w:shd w:val="clear" w:color="auto" w:fill="87A9CB" w:themeFill="accent3" w:themeFillTint="99"/>
          </w:tcPr>
          <w:p w14:paraId="178A9871" w14:textId="77777777" w:rsidR="000D17E9" w:rsidRPr="00296F65" w:rsidRDefault="000D17E9" w:rsidP="000D17E9">
            <w:pPr>
              <w:keepNext/>
              <w:spacing w:beforeAutospacing="1" w:afterAutospacing="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684AF2">
              <w:rPr>
                <w:b/>
                <w:color w:val="FFFFFF" w:themeColor="background1"/>
              </w:rPr>
              <w:t>201</w:t>
            </w:r>
            <w:r>
              <w:rPr>
                <w:b/>
                <w:color w:val="FFFFFF" w:themeColor="background1"/>
              </w:rPr>
              <w:t>5</w:t>
            </w:r>
          </w:p>
        </w:tc>
        <w:tc>
          <w:tcPr>
            <w:cnfStyle w:val="000100000000" w:firstRow="0" w:lastRow="0" w:firstColumn="0" w:lastColumn="1" w:oddVBand="0" w:evenVBand="0" w:oddHBand="0" w:evenHBand="0" w:firstRowFirstColumn="0" w:firstRowLastColumn="0" w:lastRowFirstColumn="0" w:lastRowLastColumn="0"/>
            <w:tcW w:w="2547" w:type="dxa"/>
            <w:tcBorders>
              <w:bottom w:val="single" w:sz="4" w:space="0" w:color="auto"/>
            </w:tcBorders>
            <w:shd w:val="clear" w:color="auto" w:fill="87A9CB" w:themeFill="accent3" w:themeFillTint="99"/>
          </w:tcPr>
          <w:p w14:paraId="3B06E970" w14:textId="77777777" w:rsidR="000D17E9" w:rsidRPr="00296F65" w:rsidRDefault="000D17E9" w:rsidP="000D17E9">
            <w:pPr>
              <w:keepNext/>
              <w:spacing w:beforeAutospacing="1" w:afterAutospacing="1"/>
              <w:jc w:val="center"/>
              <w:rPr>
                <w:b w:val="0"/>
                <w:color w:val="FFFFFF" w:themeColor="background1"/>
              </w:rPr>
            </w:pPr>
            <w:r w:rsidRPr="00684AF2">
              <w:rPr>
                <w:color w:val="FFFFFF" w:themeColor="background1"/>
              </w:rPr>
              <w:t>201</w:t>
            </w:r>
            <w:r>
              <w:rPr>
                <w:color w:val="FFFFFF" w:themeColor="background1"/>
              </w:rPr>
              <w:t>6</w:t>
            </w:r>
          </w:p>
        </w:tc>
      </w:tr>
      <w:tr w:rsidR="00684AF2" w14:paraId="4A506E3E" w14:textId="77777777" w:rsidTr="000D17E9">
        <w:tc>
          <w:tcPr>
            <w:cnfStyle w:val="001000000000" w:firstRow="0" w:lastRow="0" w:firstColumn="1" w:lastColumn="0" w:oddVBand="0" w:evenVBand="0" w:oddHBand="0" w:evenHBand="0" w:firstRowFirstColumn="0" w:firstRowLastColumn="0" w:lastRowFirstColumn="0" w:lastRowLastColumn="0"/>
            <w:tcW w:w="6755" w:type="dxa"/>
            <w:tcBorders>
              <w:right w:val="single" w:sz="4" w:space="0" w:color="auto"/>
            </w:tcBorders>
          </w:tcPr>
          <w:p w14:paraId="24011C1D" w14:textId="77777777" w:rsidR="00684AF2" w:rsidRPr="00296F65" w:rsidRDefault="00684AF2" w:rsidP="00B4357F">
            <w:pPr>
              <w:keepNext/>
              <w:rPr>
                <w:b w:val="0"/>
              </w:rPr>
            </w:pPr>
            <w:r w:rsidRPr="00296F65">
              <w:rPr>
                <w:b w:val="0"/>
              </w:rPr>
              <w:t>Expenditures for Rental Assistance</w:t>
            </w:r>
          </w:p>
        </w:tc>
        <w:tc>
          <w:tcPr>
            <w:cnfStyle w:val="000010000000" w:firstRow="0" w:lastRow="0" w:firstColumn="0" w:lastColumn="0" w:oddVBand="1" w:evenVBand="0" w:oddHBand="0" w:evenHBand="0" w:firstRowFirstColumn="0" w:firstRowLastColumn="0" w:lastRowFirstColumn="0" w:lastRowLastColumn="0"/>
            <w:tcW w:w="2546" w:type="dxa"/>
            <w:tcBorders>
              <w:top w:val="single" w:sz="4" w:space="0" w:color="auto"/>
              <w:left w:val="single" w:sz="4" w:space="0" w:color="auto"/>
              <w:bottom w:val="single" w:sz="4" w:space="0" w:color="auto"/>
              <w:right w:val="single" w:sz="4" w:space="0" w:color="auto"/>
            </w:tcBorders>
            <w:vAlign w:val="center"/>
          </w:tcPr>
          <w:p w14:paraId="59A05096" w14:textId="77777777" w:rsidR="00684AF2" w:rsidRPr="00C0352B" w:rsidRDefault="000D17E9" w:rsidP="00FF312A">
            <w:pPr>
              <w:keepNext/>
              <w:jc w:val="right"/>
            </w:pPr>
            <w:r>
              <w:t>760,744</w:t>
            </w:r>
          </w:p>
        </w:tc>
        <w:tc>
          <w:tcPr>
            <w:tcW w:w="2547" w:type="dxa"/>
            <w:tcBorders>
              <w:top w:val="single" w:sz="4" w:space="0" w:color="auto"/>
              <w:left w:val="single" w:sz="4" w:space="0" w:color="auto"/>
              <w:bottom w:val="single" w:sz="4" w:space="0" w:color="auto"/>
              <w:right w:val="single" w:sz="4" w:space="0" w:color="auto"/>
            </w:tcBorders>
            <w:vAlign w:val="center"/>
          </w:tcPr>
          <w:p w14:paraId="76407257" w14:textId="77777777" w:rsidR="00684AF2" w:rsidRPr="00C0352B" w:rsidRDefault="000D17E9" w:rsidP="00FF312A">
            <w:pPr>
              <w:keepNext/>
              <w:jc w:val="right"/>
              <w:cnfStyle w:val="000000000000" w:firstRow="0" w:lastRow="0" w:firstColumn="0" w:lastColumn="0" w:oddVBand="0" w:evenVBand="0" w:oddHBand="0" w:evenHBand="0" w:firstRowFirstColumn="0" w:firstRowLastColumn="0" w:lastRowFirstColumn="0" w:lastRowLastColumn="0"/>
            </w:pPr>
            <w:r>
              <w:t>1,068,280</w:t>
            </w:r>
          </w:p>
        </w:tc>
        <w:tc>
          <w:tcPr>
            <w:cnfStyle w:val="000100000000" w:firstRow="0" w:lastRow="0" w:firstColumn="0" w:lastColumn="1"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vAlign w:val="center"/>
          </w:tcPr>
          <w:p w14:paraId="216F6A5E" w14:textId="77777777" w:rsidR="00684AF2" w:rsidRPr="00C0352B" w:rsidRDefault="00F37096" w:rsidP="00FF312A">
            <w:pPr>
              <w:keepNext/>
              <w:jc w:val="right"/>
              <w:rPr>
                <w:b w:val="0"/>
              </w:rPr>
            </w:pPr>
            <w:r>
              <w:rPr>
                <w:b w:val="0"/>
              </w:rPr>
              <w:t>1,026,973</w:t>
            </w:r>
          </w:p>
        </w:tc>
      </w:tr>
      <w:tr w:rsidR="00684AF2" w14:paraId="508836E8" w14:textId="77777777" w:rsidTr="000D1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5" w:type="dxa"/>
            <w:tcBorders>
              <w:right w:val="single" w:sz="4" w:space="0" w:color="auto"/>
            </w:tcBorders>
          </w:tcPr>
          <w:p w14:paraId="0AA20F0D" w14:textId="77777777" w:rsidR="00684AF2" w:rsidRPr="00296F65" w:rsidRDefault="00684AF2" w:rsidP="00B4357F">
            <w:pPr>
              <w:keepNext/>
              <w:rPr>
                <w:b w:val="0"/>
                <w:szCs w:val="24"/>
              </w:rPr>
            </w:pPr>
            <w:r w:rsidRPr="00296F65">
              <w:rPr>
                <w:b w:val="0"/>
              </w:rPr>
              <w:t>Expenditures for Housing Relocation and Stabilization Services - Financial Assistance</w:t>
            </w:r>
          </w:p>
        </w:tc>
        <w:tc>
          <w:tcPr>
            <w:cnfStyle w:val="000010000000" w:firstRow="0" w:lastRow="0" w:firstColumn="0" w:lastColumn="0" w:oddVBand="1" w:evenVBand="0" w:oddHBand="0" w:evenHBand="0" w:firstRowFirstColumn="0" w:firstRowLastColumn="0" w:lastRowFirstColumn="0" w:lastRowLastColumn="0"/>
            <w:tcW w:w="2546" w:type="dxa"/>
            <w:tcBorders>
              <w:top w:val="single" w:sz="4" w:space="0" w:color="auto"/>
              <w:left w:val="single" w:sz="4" w:space="0" w:color="auto"/>
              <w:bottom w:val="single" w:sz="4" w:space="0" w:color="auto"/>
              <w:right w:val="single" w:sz="4" w:space="0" w:color="auto"/>
            </w:tcBorders>
            <w:vAlign w:val="center"/>
          </w:tcPr>
          <w:p w14:paraId="062826FD" w14:textId="77777777" w:rsidR="00684AF2" w:rsidRPr="00C0352B" w:rsidRDefault="000D17E9" w:rsidP="00FF312A">
            <w:pPr>
              <w:keepNext/>
              <w:jc w:val="right"/>
            </w:pPr>
            <w:r>
              <w:t>637,252</w:t>
            </w:r>
          </w:p>
        </w:tc>
        <w:tc>
          <w:tcPr>
            <w:tcW w:w="2547" w:type="dxa"/>
            <w:tcBorders>
              <w:top w:val="single" w:sz="4" w:space="0" w:color="auto"/>
              <w:left w:val="single" w:sz="4" w:space="0" w:color="auto"/>
              <w:bottom w:val="single" w:sz="4" w:space="0" w:color="auto"/>
              <w:right w:val="single" w:sz="4" w:space="0" w:color="auto"/>
            </w:tcBorders>
            <w:vAlign w:val="center"/>
          </w:tcPr>
          <w:p w14:paraId="4D6C7367" w14:textId="77777777" w:rsidR="00684AF2" w:rsidRPr="00C0352B" w:rsidRDefault="000D17E9" w:rsidP="00FF312A">
            <w:pPr>
              <w:keepNext/>
              <w:jc w:val="right"/>
              <w:cnfStyle w:val="000000100000" w:firstRow="0" w:lastRow="0" w:firstColumn="0" w:lastColumn="0" w:oddVBand="0" w:evenVBand="0" w:oddHBand="1" w:evenHBand="0" w:firstRowFirstColumn="0" w:firstRowLastColumn="0" w:lastRowFirstColumn="0" w:lastRowLastColumn="0"/>
            </w:pPr>
            <w:r>
              <w:t>897,178</w:t>
            </w:r>
          </w:p>
        </w:tc>
        <w:tc>
          <w:tcPr>
            <w:cnfStyle w:val="000100000000" w:firstRow="0" w:lastRow="0" w:firstColumn="0" w:lastColumn="1"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vAlign w:val="center"/>
          </w:tcPr>
          <w:p w14:paraId="549418CC" w14:textId="77777777" w:rsidR="00684AF2" w:rsidRPr="00C0352B" w:rsidRDefault="00F37096" w:rsidP="00FF312A">
            <w:pPr>
              <w:keepNext/>
              <w:jc w:val="right"/>
              <w:rPr>
                <w:b w:val="0"/>
              </w:rPr>
            </w:pPr>
            <w:r>
              <w:rPr>
                <w:b w:val="0"/>
              </w:rPr>
              <w:t>492,495</w:t>
            </w:r>
          </w:p>
        </w:tc>
      </w:tr>
      <w:tr w:rsidR="00684AF2" w14:paraId="1505D04D" w14:textId="77777777" w:rsidTr="000D17E9">
        <w:tc>
          <w:tcPr>
            <w:cnfStyle w:val="001000000000" w:firstRow="0" w:lastRow="0" w:firstColumn="1" w:lastColumn="0" w:oddVBand="0" w:evenVBand="0" w:oddHBand="0" w:evenHBand="0" w:firstRowFirstColumn="0" w:firstRowLastColumn="0" w:lastRowFirstColumn="0" w:lastRowLastColumn="0"/>
            <w:tcW w:w="6755" w:type="dxa"/>
            <w:tcBorders>
              <w:right w:val="single" w:sz="4" w:space="0" w:color="auto"/>
            </w:tcBorders>
          </w:tcPr>
          <w:p w14:paraId="14AF323C" w14:textId="77777777" w:rsidR="00684AF2" w:rsidRPr="00296F65" w:rsidRDefault="00684AF2" w:rsidP="00B4357F">
            <w:pPr>
              <w:keepNext/>
              <w:rPr>
                <w:b w:val="0"/>
                <w:szCs w:val="24"/>
              </w:rPr>
            </w:pPr>
            <w:r w:rsidRPr="00296F65">
              <w:rPr>
                <w:b w:val="0"/>
              </w:rPr>
              <w:t>Expenditures for Housing Relocation &amp; Stabilization Services - Services</w:t>
            </w:r>
          </w:p>
        </w:tc>
        <w:tc>
          <w:tcPr>
            <w:cnfStyle w:val="000010000000" w:firstRow="0" w:lastRow="0" w:firstColumn="0" w:lastColumn="0" w:oddVBand="1" w:evenVBand="0" w:oddHBand="0" w:evenHBand="0" w:firstRowFirstColumn="0" w:firstRowLastColumn="0" w:lastRowFirstColumn="0" w:lastRowLastColumn="0"/>
            <w:tcW w:w="2546" w:type="dxa"/>
            <w:tcBorders>
              <w:top w:val="single" w:sz="4" w:space="0" w:color="auto"/>
              <w:left w:val="single" w:sz="4" w:space="0" w:color="auto"/>
              <w:bottom w:val="single" w:sz="4" w:space="0" w:color="auto"/>
              <w:right w:val="single" w:sz="4" w:space="0" w:color="auto"/>
            </w:tcBorders>
            <w:vAlign w:val="center"/>
          </w:tcPr>
          <w:p w14:paraId="2026D402" w14:textId="77777777" w:rsidR="00684AF2" w:rsidRPr="00C0352B" w:rsidRDefault="000D17E9" w:rsidP="00FF312A">
            <w:pPr>
              <w:keepNext/>
              <w:jc w:val="right"/>
            </w:pPr>
            <w:r>
              <w:t>649,225</w:t>
            </w:r>
          </w:p>
        </w:tc>
        <w:tc>
          <w:tcPr>
            <w:tcW w:w="2547" w:type="dxa"/>
            <w:tcBorders>
              <w:top w:val="single" w:sz="4" w:space="0" w:color="auto"/>
              <w:left w:val="single" w:sz="4" w:space="0" w:color="auto"/>
              <w:bottom w:val="single" w:sz="4" w:space="0" w:color="auto"/>
              <w:right w:val="single" w:sz="4" w:space="0" w:color="auto"/>
            </w:tcBorders>
            <w:vAlign w:val="center"/>
          </w:tcPr>
          <w:p w14:paraId="0CA00AA6" w14:textId="77777777" w:rsidR="00684AF2" w:rsidRPr="00C0352B" w:rsidRDefault="000D17E9" w:rsidP="00FF312A">
            <w:pPr>
              <w:keepNext/>
              <w:jc w:val="right"/>
              <w:cnfStyle w:val="000000000000" w:firstRow="0" w:lastRow="0" w:firstColumn="0" w:lastColumn="0" w:oddVBand="0" w:evenVBand="0" w:oddHBand="0" w:evenHBand="0" w:firstRowFirstColumn="0" w:firstRowLastColumn="0" w:lastRowFirstColumn="0" w:lastRowLastColumn="0"/>
            </w:pPr>
            <w:r>
              <w:t>1,119,105</w:t>
            </w:r>
          </w:p>
        </w:tc>
        <w:tc>
          <w:tcPr>
            <w:cnfStyle w:val="000100000000" w:firstRow="0" w:lastRow="0" w:firstColumn="0" w:lastColumn="1"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vAlign w:val="center"/>
          </w:tcPr>
          <w:p w14:paraId="72C54570" w14:textId="77777777" w:rsidR="00684AF2" w:rsidRPr="00C0352B" w:rsidRDefault="00F37096" w:rsidP="00FF312A">
            <w:pPr>
              <w:keepNext/>
              <w:jc w:val="right"/>
              <w:rPr>
                <w:b w:val="0"/>
              </w:rPr>
            </w:pPr>
            <w:r>
              <w:rPr>
                <w:b w:val="0"/>
              </w:rPr>
              <w:t>605,587</w:t>
            </w:r>
          </w:p>
        </w:tc>
      </w:tr>
      <w:tr w:rsidR="00684AF2" w14:paraId="7041806D" w14:textId="77777777" w:rsidTr="000D1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5" w:type="dxa"/>
            <w:tcBorders>
              <w:right w:val="single" w:sz="4" w:space="0" w:color="auto"/>
            </w:tcBorders>
          </w:tcPr>
          <w:p w14:paraId="1B14E222" w14:textId="77777777" w:rsidR="00684AF2" w:rsidRPr="00296F65" w:rsidRDefault="00684AF2" w:rsidP="00B4357F">
            <w:pPr>
              <w:keepNext/>
              <w:rPr>
                <w:b w:val="0"/>
                <w:szCs w:val="24"/>
              </w:rPr>
            </w:pPr>
            <w:r w:rsidRPr="00296F65">
              <w:rPr>
                <w:b w:val="0"/>
              </w:rPr>
              <w:t>Expenditures for Homeless Assistance under Emergency Shelter Grants Program</w:t>
            </w:r>
          </w:p>
        </w:tc>
        <w:tc>
          <w:tcPr>
            <w:cnfStyle w:val="000010000000" w:firstRow="0" w:lastRow="0" w:firstColumn="0" w:lastColumn="0" w:oddVBand="1" w:evenVBand="0" w:oddHBand="0" w:evenHBand="0" w:firstRowFirstColumn="0" w:firstRowLastColumn="0" w:lastRowFirstColumn="0" w:lastRowLastColumn="0"/>
            <w:tcW w:w="2546" w:type="dxa"/>
            <w:tcBorders>
              <w:top w:val="single" w:sz="4" w:space="0" w:color="auto"/>
              <w:left w:val="single" w:sz="4" w:space="0" w:color="auto"/>
              <w:bottom w:val="single" w:sz="4" w:space="0" w:color="auto"/>
              <w:right w:val="single" w:sz="4" w:space="0" w:color="auto"/>
            </w:tcBorders>
            <w:vAlign w:val="center"/>
          </w:tcPr>
          <w:p w14:paraId="0B33E2C2" w14:textId="77777777" w:rsidR="00684AF2" w:rsidRPr="00C0352B" w:rsidRDefault="000D17E9" w:rsidP="00FF312A">
            <w:pPr>
              <w:keepNext/>
              <w:jc w:val="right"/>
            </w:pPr>
            <w:r>
              <w:t>510,000</w:t>
            </w:r>
          </w:p>
        </w:tc>
        <w:tc>
          <w:tcPr>
            <w:tcW w:w="2547" w:type="dxa"/>
            <w:tcBorders>
              <w:top w:val="single" w:sz="4" w:space="0" w:color="auto"/>
              <w:left w:val="single" w:sz="4" w:space="0" w:color="auto"/>
              <w:bottom w:val="single" w:sz="4" w:space="0" w:color="auto"/>
              <w:right w:val="single" w:sz="4" w:space="0" w:color="auto"/>
            </w:tcBorders>
            <w:vAlign w:val="center"/>
          </w:tcPr>
          <w:p w14:paraId="608EECFD" w14:textId="77777777" w:rsidR="00684AF2" w:rsidRPr="00C0352B" w:rsidRDefault="000D17E9" w:rsidP="00FF312A">
            <w:pPr>
              <w:keepNext/>
              <w:jc w:val="right"/>
              <w:cnfStyle w:val="000000100000" w:firstRow="0" w:lastRow="0" w:firstColumn="0" w:lastColumn="0" w:oddVBand="0" w:evenVBand="0" w:oddHBand="1"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vAlign w:val="center"/>
          </w:tcPr>
          <w:p w14:paraId="66268ECF" w14:textId="77777777" w:rsidR="00684AF2" w:rsidRPr="00C0352B" w:rsidRDefault="00F37096" w:rsidP="00FF312A">
            <w:pPr>
              <w:keepNext/>
              <w:jc w:val="right"/>
              <w:rPr>
                <w:b w:val="0"/>
              </w:rPr>
            </w:pPr>
            <w:r>
              <w:rPr>
                <w:b w:val="0"/>
              </w:rPr>
              <w:t>0</w:t>
            </w:r>
          </w:p>
        </w:tc>
      </w:tr>
      <w:tr w:rsidR="00684AF2" w14:paraId="76050172" w14:textId="77777777" w:rsidTr="000D17E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6755" w:type="dxa"/>
            <w:tcBorders>
              <w:right w:val="single" w:sz="4" w:space="0" w:color="auto"/>
            </w:tcBorders>
          </w:tcPr>
          <w:p w14:paraId="1BE8BEA6" w14:textId="77777777" w:rsidR="00684AF2" w:rsidRPr="00296F65" w:rsidRDefault="00684AF2" w:rsidP="00B4357F">
            <w:pPr>
              <w:keepNext/>
              <w:rPr>
                <w:b w:val="0"/>
              </w:rPr>
            </w:pPr>
            <w:r w:rsidRPr="00296F65">
              <w:rPr>
                <w:b w:val="0"/>
              </w:rPr>
              <w:t>Subtotal Rapid Re-Housing</w:t>
            </w:r>
          </w:p>
        </w:tc>
        <w:tc>
          <w:tcPr>
            <w:cnfStyle w:val="000010000000" w:firstRow="0" w:lastRow="0" w:firstColumn="0" w:lastColumn="0" w:oddVBand="1" w:evenVBand="0" w:oddHBand="0" w:evenHBand="0" w:firstRowFirstColumn="0" w:firstRowLastColumn="0" w:lastRowFirstColumn="0" w:lastRowLastColumn="0"/>
            <w:tcW w:w="2546" w:type="dxa"/>
            <w:tcBorders>
              <w:top w:val="single" w:sz="4" w:space="0" w:color="auto"/>
              <w:left w:val="single" w:sz="4" w:space="0" w:color="auto"/>
              <w:bottom w:val="single" w:sz="4" w:space="0" w:color="auto"/>
              <w:right w:val="single" w:sz="4" w:space="0" w:color="auto"/>
            </w:tcBorders>
            <w:vAlign w:val="center"/>
          </w:tcPr>
          <w:p w14:paraId="4AE6B341" w14:textId="77777777" w:rsidR="00684AF2" w:rsidRPr="003C64D8" w:rsidRDefault="000D17E9" w:rsidP="00FF312A">
            <w:pPr>
              <w:keepNext/>
              <w:jc w:val="right"/>
            </w:pPr>
            <w:r w:rsidRPr="003C64D8">
              <w:t>2,557,221</w:t>
            </w:r>
          </w:p>
        </w:tc>
        <w:tc>
          <w:tcPr>
            <w:tcW w:w="2547" w:type="dxa"/>
            <w:tcBorders>
              <w:top w:val="single" w:sz="4" w:space="0" w:color="auto"/>
              <w:left w:val="single" w:sz="4" w:space="0" w:color="auto"/>
              <w:bottom w:val="single" w:sz="4" w:space="0" w:color="auto"/>
              <w:right w:val="single" w:sz="4" w:space="0" w:color="auto"/>
            </w:tcBorders>
            <w:vAlign w:val="center"/>
          </w:tcPr>
          <w:p w14:paraId="0F77B35C" w14:textId="77777777" w:rsidR="00684AF2" w:rsidRPr="003C64D8" w:rsidRDefault="000D17E9" w:rsidP="003C64D8">
            <w:pPr>
              <w:keepNext/>
              <w:jc w:val="right"/>
              <w:cnfStyle w:val="010000000000" w:firstRow="0" w:lastRow="1" w:firstColumn="0" w:lastColumn="0" w:oddVBand="0" w:evenVBand="0" w:oddHBand="0" w:evenHBand="0" w:firstRowFirstColumn="0" w:firstRowLastColumn="0" w:lastRowFirstColumn="0" w:lastRowLastColumn="0"/>
            </w:pPr>
            <w:r w:rsidRPr="003C64D8">
              <w:t>3,084,56</w:t>
            </w:r>
            <w:r w:rsidR="003C64D8">
              <w:t>3</w:t>
            </w:r>
          </w:p>
        </w:tc>
        <w:tc>
          <w:tcPr>
            <w:cnfStyle w:val="000100000010" w:firstRow="0" w:lastRow="0" w:firstColumn="0" w:lastColumn="1" w:oddVBand="0" w:evenVBand="0" w:oddHBand="0" w:evenHBand="0" w:firstRowFirstColumn="0" w:firstRowLastColumn="0" w:lastRowFirstColumn="0" w:lastRowLastColumn="1"/>
            <w:tcW w:w="2547" w:type="dxa"/>
            <w:tcBorders>
              <w:top w:val="single" w:sz="4" w:space="0" w:color="auto"/>
              <w:left w:val="single" w:sz="4" w:space="0" w:color="auto"/>
              <w:bottom w:val="single" w:sz="4" w:space="0" w:color="auto"/>
              <w:right w:val="single" w:sz="4" w:space="0" w:color="auto"/>
            </w:tcBorders>
            <w:vAlign w:val="center"/>
          </w:tcPr>
          <w:p w14:paraId="7E2895BA" w14:textId="77777777" w:rsidR="00684AF2" w:rsidRPr="003C64D8" w:rsidRDefault="00F37096" w:rsidP="00FF312A">
            <w:pPr>
              <w:keepNext/>
              <w:jc w:val="right"/>
            </w:pPr>
            <w:r>
              <w:t>2,125,055</w:t>
            </w:r>
          </w:p>
        </w:tc>
      </w:tr>
    </w:tbl>
    <w:p w14:paraId="39155C70" w14:textId="77777777" w:rsidR="00684AF2" w:rsidRPr="00296F65" w:rsidRDefault="00684AF2" w:rsidP="00684AF2">
      <w:pPr>
        <w:pStyle w:val="Caption"/>
        <w:jc w:val="center"/>
        <w:rPr>
          <w:rFonts w:ascii="Arial" w:hAnsi="Arial" w:cs="Arial"/>
        </w:rPr>
      </w:pPr>
      <w:r w:rsidRPr="00296F65">
        <w:rPr>
          <w:rFonts w:ascii="Arial" w:hAnsi="Arial" w:cs="Arial"/>
          <w:sz w:val="16"/>
        </w:rPr>
        <w:t xml:space="preserve">Table </w:t>
      </w:r>
      <w:r w:rsidRPr="00296F65">
        <w:rPr>
          <w:rFonts w:ascii="Arial" w:hAnsi="Arial" w:cs="Arial"/>
          <w:sz w:val="16"/>
        </w:rPr>
        <w:fldChar w:fldCharType="begin"/>
      </w:r>
      <w:r w:rsidRPr="00296F65">
        <w:rPr>
          <w:rFonts w:ascii="Arial" w:hAnsi="Arial" w:cs="Arial"/>
          <w:sz w:val="16"/>
        </w:rPr>
        <w:instrText xml:space="preserve"> SEQ Table \* ARABIC </w:instrText>
      </w:r>
      <w:r w:rsidRPr="00296F65">
        <w:rPr>
          <w:rFonts w:ascii="Arial" w:hAnsi="Arial" w:cs="Arial"/>
          <w:sz w:val="16"/>
        </w:rPr>
        <w:fldChar w:fldCharType="separate"/>
      </w:r>
      <w:r w:rsidR="00AA534C">
        <w:rPr>
          <w:rFonts w:ascii="Arial" w:hAnsi="Arial" w:cs="Arial"/>
          <w:noProof/>
          <w:sz w:val="16"/>
        </w:rPr>
        <w:t>21</w:t>
      </w:r>
      <w:r w:rsidRPr="00296F65">
        <w:rPr>
          <w:rFonts w:ascii="Arial" w:hAnsi="Arial" w:cs="Arial"/>
          <w:sz w:val="16"/>
        </w:rPr>
        <w:fldChar w:fldCharType="end"/>
      </w:r>
      <w:r w:rsidRPr="00296F65">
        <w:rPr>
          <w:rFonts w:ascii="Arial" w:hAnsi="Arial" w:cs="Arial"/>
          <w:sz w:val="16"/>
        </w:rPr>
        <w:t xml:space="preserve"> – ESG Expenditures for Rapid Re-Housing</w:t>
      </w:r>
    </w:p>
    <w:p w14:paraId="3367968F" w14:textId="77777777" w:rsidR="00684AF2" w:rsidRPr="00296F65" w:rsidRDefault="00684AF2" w:rsidP="00684AF2">
      <w:pPr>
        <w:keepNext/>
        <w:rPr>
          <w:b/>
          <w:i/>
          <w:szCs w:val="24"/>
        </w:rPr>
      </w:pPr>
      <w:r>
        <w:rPr>
          <w:b/>
          <w:szCs w:val="24"/>
        </w:rPr>
        <w:lastRenderedPageBreak/>
        <w:t xml:space="preserve">11c. </w:t>
      </w:r>
      <w:r w:rsidRPr="00296F65">
        <w:rPr>
          <w:b/>
          <w:i/>
          <w:szCs w:val="24"/>
        </w:rPr>
        <w:t>ESG Expenditures for Emergency Shelter</w:t>
      </w:r>
    </w:p>
    <w:tbl>
      <w:tblPr>
        <w:tblStyle w:val="ListTable4-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3"/>
        <w:gridCol w:w="2545"/>
        <w:gridCol w:w="2546"/>
        <w:gridCol w:w="2546"/>
      </w:tblGrid>
      <w:tr w:rsidR="00FF312A" w14:paraId="4C2A9457" w14:textId="77777777" w:rsidTr="00060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2807BEAC" w14:textId="77777777" w:rsidR="00FF312A" w:rsidRDefault="00FF312A" w:rsidP="00B4357F">
            <w:pPr>
              <w:keepNext/>
              <w:jc w:val="center"/>
            </w:pPr>
            <w:r>
              <w:t>Dollar Amount of Expenditures in Program Year</w:t>
            </w:r>
          </w:p>
        </w:tc>
      </w:tr>
      <w:tr w:rsidR="000D17E9" w14:paraId="72882A4C" w14:textId="77777777" w:rsidTr="001C1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shd w:val="clear" w:color="auto" w:fill="87A9CB" w:themeFill="accent3" w:themeFillTint="99"/>
          </w:tcPr>
          <w:p w14:paraId="1889AEDD" w14:textId="77777777" w:rsidR="000D17E9" w:rsidRPr="00296F65" w:rsidRDefault="000D17E9" w:rsidP="000D17E9">
            <w:pPr>
              <w:keepNext/>
              <w:rPr>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2545" w:type="dxa"/>
            <w:tcBorders>
              <w:bottom w:val="single" w:sz="4" w:space="0" w:color="auto"/>
            </w:tcBorders>
            <w:shd w:val="clear" w:color="auto" w:fill="87A9CB" w:themeFill="accent3" w:themeFillTint="99"/>
          </w:tcPr>
          <w:p w14:paraId="75062548" w14:textId="77777777" w:rsidR="000D17E9" w:rsidRPr="00296F65" w:rsidRDefault="000D17E9" w:rsidP="000D17E9">
            <w:pPr>
              <w:keepNext/>
              <w:spacing w:beforeAutospacing="1" w:afterAutospacing="1"/>
              <w:jc w:val="center"/>
              <w:rPr>
                <w:b/>
                <w:color w:val="FFFFFF" w:themeColor="background1"/>
              </w:rPr>
            </w:pPr>
            <w:r w:rsidRPr="00684AF2">
              <w:rPr>
                <w:b/>
                <w:color w:val="FFFFFF" w:themeColor="background1"/>
              </w:rPr>
              <w:t>201</w:t>
            </w:r>
            <w:r>
              <w:rPr>
                <w:b/>
                <w:color w:val="FFFFFF" w:themeColor="background1"/>
              </w:rPr>
              <w:t>4</w:t>
            </w:r>
          </w:p>
        </w:tc>
        <w:tc>
          <w:tcPr>
            <w:tcW w:w="2546" w:type="dxa"/>
            <w:tcBorders>
              <w:bottom w:val="single" w:sz="4" w:space="0" w:color="auto"/>
            </w:tcBorders>
            <w:shd w:val="clear" w:color="auto" w:fill="87A9CB" w:themeFill="accent3" w:themeFillTint="99"/>
          </w:tcPr>
          <w:p w14:paraId="07D12290" w14:textId="77777777" w:rsidR="000D17E9" w:rsidRPr="00296F65" w:rsidRDefault="000D17E9" w:rsidP="000D17E9">
            <w:pPr>
              <w:keepNext/>
              <w:spacing w:beforeAutospacing="1" w:afterAutospacing="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684AF2">
              <w:rPr>
                <w:b/>
                <w:color w:val="FFFFFF" w:themeColor="background1"/>
              </w:rPr>
              <w:t>201</w:t>
            </w:r>
            <w:r>
              <w:rPr>
                <w:b/>
                <w:color w:val="FFFFFF" w:themeColor="background1"/>
              </w:rPr>
              <w:t>5</w:t>
            </w:r>
          </w:p>
        </w:tc>
        <w:tc>
          <w:tcPr>
            <w:cnfStyle w:val="000100000000" w:firstRow="0" w:lastRow="0" w:firstColumn="0" w:lastColumn="1" w:oddVBand="0" w:evenVBand="0" w:oddHBand="0" w:evenHBand="0" w:firstRowFirstColumn="0" w:firstRowLastColumn="0" w:lastRowFirstColumn="0" w:lastRowLastColumn="0"/>
            <w:tcW w:w="2546" w:type="dxa"/>
            <w:tcBorders>
              <w:bottom w:val="single" w:sz="4" w:space="0" w:color="auto"/>
            </w:tcBorders>
            <w:shd w:val="clear" w:color="auto" w:fill="87A9CB" w:themeFill="accent3" w:themeFillTint="99"/>
          </w:tcPr>
          <w:p w14:paraId="7D2794E6" w14:textId="77777777" w:rsidR="000D17E9" w:rsidRPr="00296F65" w:rsidRDefault="000D17E9" w:rsidP="000D17E9">
            <w:pPr>
              <w:keepNext/>
              <w:spacing w:beforeAutospacing="1" w:afterAutospacing="1"/>
              <w:jc w:val="center"/>
              <w:rPr>
                <w:b w:val="0"/>
                <w:color w:val="FFFFFF" w:themeColor="background1"/>
              </w:rPr>
            </w:pPr>
            <w:r w:rsidRPr="00684AF2">
              <w:rPr>
                <w:color w:val="FFFFFF" w:themeColor="background1"/>
              </w:rPr>
              <w:t>201</w:t>
            </w:r>
            <w:r>
              <w:rPr>
                <w:color w:val="FFFFFF" w:themeColor="background1"/>
              </w:rPr>
              <w:t>6</w:t>
            </w:r>
          </w:p>
        </w:tc>
      </w:tr>
      <w:tr w:rsidR="00684AF2" w14:paraId="6AFB433C" w14:textId="77777777" w:rsidTr="00FF312A">
        <w:tc>
          <w:tcPr>
            <w:cnfStyle w:val="001000000000" w:firstRow="0" w:lastRow="0" w:firstColumn="1" w:lastColumn="0" w:oddVBand="0" w:evenVBand="0" w:oddHBand="0" w:evenHBand="0" w:firstRowFirstColumn="0" w:firstRowLastColumn="0" w:lastRowFirstColumn="0" w:lastRowLastColumn="0"/>
            <w:tcW w:w="6753" w:type="dxa"/>
            <w:shd w:val="clear" w:color="auto" w:fill="FFFFFF" w:themeFill="background1"/>
          </w:tcPr>
          <w:p w14:paraId="6CCB916E" w14:textId="77777777" w:rsidR="00684AF2" w:rsidRPr="00296F65" w:rsidRDefault="00684AF2" w:rsidP="00B4357F">
            <w:pPr>
              <w:keepNext/>
              <w:ind w:right="432"/>
              <w:rPr>
                <w:b w:val="0"/>
              </w:rPr>
            </w:pPr>
            <w:r w:rsidRPr="00296F65">
              <w:rPr>
                <w:b w:val="0"/>
              </w:rPr>
              <w:t>Essential Services</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5897117C" w14:textId="77777777" w:rsidR="00684AF2" w:rsidRPr="00C0352B" w:rsidRDefault="000D17E9" w:rsidP="00FF312A">
            <w:pPr>
              <w:keepNext/>
              <w:jc w:val="right"/>
            </w:pPr>
            <w:r>
              <w:t>2,805,735</w:t>
            </w:r>
          </w:p>
        </w:tc>
        <w:tc>
          <w:tcPr>
            <w:tcW w:w="2546" w:type="dxa"/>
            <w:shd w:val="clear" w:color="auto" w:fill="FFFFFF" w:themeFill="background1"/>
            <w:vAlign w:val="center"/>
          </w:tcPr>
          <w:p w14:paraId="3686AADF" w14:textId="77777777" w:rsidR="00684AF2" w:rsidRPr="00C0352B" w:rsidRDefault="000D17E9" w:rsidP="00FF312A">
            <w:pPr>
              <w:keepNext/>
              <w:jc w:val="right"/>
              <w:cnfStyle w:val="000000000000" w:firstRow="0" w:lastRow="0" w:firstColumn="0" w:lastColumn="0" w:oddVBand="0" w:evenVBand="0" w:oddHBand="0" w:evenHBand="0" w:firstRowFirstColumn="0" w:firstRowLastColumn="0" w:lastRowFirstColumn="0" w:lastRowLastColumn="0"/>
            </w:pPr>
            <w:r>
              <w:t>2,643,055</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67560B45" w14:textId="77777777" w:rsidR="00684AF2" w:rsidRPr="00C0352B" w:rsidRDefault="00121015" w:rsidP="00121015">
            <w:pPr>
              <w:keepNext/>
              <w:jc w:val="right"/>
              <w:rPr>
                <w:b w:val="0"/>
              </w:rPr>
            </w:pPr>
            <w:r>
              <w:rPr>
                <w:b w:val="0"/>
              </w:rPr>
              <w:t>1,077,994</w:t>
            </w:r>
          </w:p>
        </w:tc>
      </w:tr>
      <w:tr w:rsidR="00684AF2" w14:paraId="4DD51CA6" w14:textId="77777777" w:rsidTr="00FF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shd w:val="clear" w:color="auto" w:fill="FFFFFF" w:themeFill="background1"/>
          </w:tcPr>
          <w:p w14:paraId="444F4796" w14:textId="77777777" w:rsidR="00684AF2" w:rsidRPr="00296F65" w:rsidRDefault="00684AF2" w:rsidP="00B4357F">
            <w:pPr>
              <w:keepNext/>
              <w:ind w:right="432"/>
              <w:rPr>
                <w:b w:val="0"/>
              </w:rPr>
            </w:pPr>
            <w:r w:rsidRPr="00296F65">
              <w:rPr>
                <w:b w:val="0"/>
              </w:rPr>
              <w:t>Operations</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307A29D3" w14:textId="77777777" w:rsidR="00684AF2" w:rsidRPr="00C0352B" w:rsidRDefault="000D17E9" w:rsidP="00FF312A">
            <w:pPr>
              <w:keepNext/>
              <w:jc w:val="right"/>
            </w:pPr>
            <w:r>
              <w:t>2,022,919</w:t>
            </w:r>
          </w:p>
        </w:tc>
        <w:tc>
          <w:tcPr>
            <w:tcW w:w="2546" w:type="dxa"/>
            <w:shd w:val="clear" w:color="auto" w:fill="FFFFFF" w:themeFill="background1"/>
            <w:vAlign w:val="center"/>
          </w:tcPr>
          <w:p w14:paraId="59A33F72" w14:textId="77777777" w:rsidR="00684AF2" w:rsidRPr="00C0352B" w:rsidRDefault="000D17E9" w:rsidP="00FF312A">
            <w:pPr>
              <w:keepNext/>
              <w:jc w:val="right"/>
              <w:cnfStyle w:val="000000100000" w:firstRow="0" w:lastRow="0" w:firstColumn="0" w:lastColumn="0" w:oddVBand="0" w:evenVBand="0" w:oddHBand="1" w:evenHBand="0" w:firstRowFirstColumn="0" w:firstRowLastColumn="0" w:lastRowFirstColumn="0" w:lastRowLastColumn="0"/>
            </w:pPr>
            <w:r>
              <w:t>1,810,381</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66C5D04E" w14:textId="77777777" w:rsidR="00684AF2" w:rsidRPr="00C0352B" w:rsidRDefault="00121015" w:rsidP="00FF312A">
            <w:pPr>
              <w:keepNext/>
              <w:jc w:val="right"/>
              <w:rPr>
                <w:b w:val="0"/>
              </w:rPr>
            </w:pPr>
            <w:r>
              <w:rPr>
                <w:b w:val="0"/>
              </w:rPr>
              <w:t>821,931</w:t>
            </w:r>
          </w:p>
        </w:tc>
      </w:tr>
      <w:tr w:rsidR="00684AF2" w14:paraId="77A2DC93" w14:textId="77777777" w:rsidTr="00FF312A">
        <w:tc>
          <w:tcPr>
            <w:cnfStyle w:val="001000000000" w:firstRow="0" w:lastRow="0" w:firstColumn="1" w:lastColumn="0" w:oddVBand="0" w:evenVBand="0" w:oddHBand="0" w:evenHBand="0" w:firstRowFirstColumn="0" w:firstRowLastColumn="0" w:lastRowFirstColumn="0" w:lastRowLastColumn="0"/>
            <w:tcW w:w="6753" w:type="dxa"/>
            <w:shd w:val="clear" w:color="auto" w:fill="FFFFFF" w:themeFill="background1"/>
          </w:tcPr>
          <w:p w14:paraId="03B8DDC1" w14:textId="77777777" w:rsidR="00684AF2" w:rsidRPr="00296F65" w:rsidRDefault="00684AF2" w:rsidP="00B4357F">
            <w:pPr>
              <w:keepNext/>
              <w:ind w:right="432"/>
              <w:rPr>
                <w:b w:val="0"/>
              </w:rPr>
            </w:pPr>
            <w:r w:rsidRPr="00296F65">
              <w:rPr>
                <w:b w:val="0"/>
              </w:rPr>
              <w:t>Renovation</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661FF999" w14:textId="77777777" w:rsidR="00684AF2" w:rsidRPr="00C0352B" w:rsidRDefault="000D17E9" w:rsidP="00FF312A">
            <w:pPr>
              <w:keepNext/>
              <w:jc w:val="right"/>
            </w:pPr>
            <w:r>
              <w:t>0</w:t>
            </w:r>
          </w:p>
        </w:tc>
        <w:tc>
          <w:tcPr>
            <w:tcW w:w="2546" w:type="dxa"/>
            <w:shd w:val="clear" w:color="auto" w:fill="FFFFFF" w:themeFill="background1"/>
            <w:vAlign w:val="center"/>
          </w:tcPr>
          <w:p w14:paraId="73B73D2B" w14:textId="77777777" w:rsidR="00684AF2" w:rsidRPr="00C0352B" w:rsidRDefault="000D17E9" w:rsidP="00FF312A">
            <w:pPr>
              <w:keepNext/>
              <w:jc w:val="right"/>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57B28B9D" w14:textId="77777777" w:rsidR="00684AF2" w:rsidRPr="00C0352B" w:rsidRDefault="00121015" w:rsidP="00FF312A">
            <w:pPr>
              <w:keepNext/>
              <w:jc w:val="right"/>
              <w:rPr>
                <w:b w:val="0"/>
              </w:rPr>
            </w:pPr>
            <w:r>
              <w:rPr>
                <w:b w:val="0"/>
              </w:rPr>
              <w:t>0</w:t>
            </w:r>
          </w:p>
        </w:tc>
      </w:tr>
      <w:tr w:rsidR="00684AF2" w14:paraId="5AD897A4" w14:textId="77777777" w:rsidTr="00FF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shd w:val="clear" w:color="auto" w:fill="FFFFFF" w:themeFill="background1"/>
          </w:tcPr>
          <w:p w14:paraId="3DF4EBBD" w14:textId="77777777" w:rsidR="00684AF2" w:rsidRPr="00296F65" w:rsidRDefault="00684AF2" w:rsidP="00B4357F">
            <w:pPr>
              <w:keepNext/>
              <w:ind w:right="432"/>
              <w:rPr>
                <w:b w:val="0"/>
              </w:rPr>
            </w:pPr>
            <w:r w:rsidRPr="00296F65">
              <w:rPr>
                <w:b w:val="0"/>
              </w:rPr>
              <w:t>Major Rehab</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780480B5" w14:textId="77777777" w:rsidR="00684AF2" w:rsidRPr="00C0352B" w:rsidRDefault="000D17E9" w:rsidP="00FF312A">
            <w:pPr>
              <w:keepNext/>
              <w:jc w:val="right"/>
            </w:pPr>
            <w:r>
              <w:t>0</w:t>
            </w:r>
          </w:p>
        </w:tc>
        <w:tc>
          <w:tcPr>
            <w:tcW w:w="2546" w:type="dxa"/>
            <w:shd w:val="clear" w:color="auto" w:fill="FFFFFF" w:themeFill="background1"/>
            <w:vAlign w:val="center"/>
          </w:tcPr>
          <w:p w14:paraId="5FCA91CB" w14:textId="77777777" w:rsidR="00684AF2" w:rsidRPr="00C0352B" w:rsidRDefault="000D17E9" w:rsidP="00FF312A">
            <w:pPr>
              <w:keepNext/>
              <w:jc w:val="right"/>
              <w:cnfStyle w:val="000000100000" w:firstRow="0" w:lastRow="0" w:firstColumn="0" w:lastColumn="0" w:oddVBand="0" w:evenVBand="0" w:oddHBand="1"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79480444" w14:textId="77777777" w:rsidR="00684AF2" w:rsidRPr="00C0352B" w:rsidRDefault="00121015" w:rsidP="00FF312A">
            <w:pPr>
              <w:keepNext/>
              <w:jc w:val="right"/>
              <w:rPr>
                <w:b w:val="0"/>
              </w:rPr>
            </w:pPr>
            <w:r>
              <w:rPr>
                <w:b w:val="0"/>
              </w:rPr>
              <w:t>0</w:t>
            </w:r>
          </w:p>
        </w:tc>
      </w:tr>
      <w:tr w:rsidR="00684AF2" w14:paraId="0D474BF5" w14:textId="77777777" w:rsidTr="00FF312A">
        <w:tc>
          <w:tcPr>
            <w:cnfStyle w:val="001000000000" w:firstRow="0" w:lastRow="0" w:firstColumn="1" w:lastColumn="0" w:oddVBand="0" w:evenVBand="0" w:oddHBand="0" w:evenHBand="0" w:firstRowFirstColumn="0" w:firstRowLastColumn="0" w:lastRowFirstColumn="0" w:lastRowLastColumn="0"/>
            <w:tcW w:w="6753" w:type="dxa"/>
            <w:shd w:val="clear" w:color="auto" w:fill="FFFFFF" w:themeFill="background1"/>
          </w:tcPr>
          <w:p w14:paraId="423E60FE" w14:textId="77777777" w:rsidR="00684AF2" w:rsidRPr="00296F65" w:rsidRDefault="00684AF2" w:rsidP="00B4357F">
            <w:pPr>
              <w:keepNext/>
              <w:ind w:right="432"/>
              <w:rPr>
                <w:b w:val="0"/>
              </w:rPr>
            </w:pPr>
            <w:r w:rsidRPr="00296F65">
              <w:rPr>
                <w:b w:val="0"/>
              </w:rPr>
              <w:t>Conversion</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6E1BD81F" w14:textId="77777777" w:rsidR="00684AF2" w:rsidRPr="00C0352B" w:rsidRDefault="000D17E9" w:rsidP="00FF312A">
            <w:pPr>
              <w:keepNext/>
              <w:jc w:val="right"/>
            </w:pPr>
            <w:r>
              <w:t>0</w:t>
            </w:r>
          </w:p>
        </w:tc>
        <w:tc>
          <w:tcPr>
            <w:tcW w:w="2546" w:type="dxa"/>
            <w:shd w:val="clear" w:color="auto" w:fill="FFFFFF" w:themeFill="background1"/>
            <w:vAlign w:val="center"/>
          </w:tcPr>
          <w:p w14:paraId="3D3F1406" w14:textId="77777777" w:rsidR="00684AF2" w:rsidRPr="00C0352B" w:rsidRDefault="000D17E9" w:rsidP="00FF312A">
            <w:pPr>
              <w:keepNext/>
              <w:jc w:val="right"/>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37F00046" w14:textId="77777777" w:rsidR="00684AF2" w:rsidRPr="00C0352B" w:rsidRDefault="00121015" w:rsidP="00FF312A">
            <w:pPr>
              <w:keepNext/>
              <w:jc w:val="right"/>
              <w:rPr>
                <w:b w:val="0"/>
              </w:rPr>
            </w:pPr>
            <w:r>
              <w:rPr>
                <w:b w:val="0"/>
              </w:rPr>
              <w:t>0</w:t>
            </w:r>
          </w:p>
        </w:tc>
      </w:tr>
      <w:tr w:rsidR="00684AF2" w14:paraId="31856D4F" w14:textId="77777777" w:rsidTr="00FF31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tcBorders>
              <w:top w:val="none" w:sz="0" w:space="0" w:color="auto"/>
            </w:tcBorders>
            <w:shd w:val="clear" w:color="auto" w:fill="FFFFFF" w:themeFill="background1"/>
          </w:tcPr>
          <w:p w14:paraId="0339B745" w14:textId="77777777" w:rsidR="00684AF2" w:rsidRPr="00296F65" w:rsidRDefault="00684AF2" w:rsidP="00B4357F">
            <w:pPr>
              <w:keepNext/>
              <w:rPr>
                <w:b w:val="0"/>
              </w:rPr>
            </w:pPr>
            <w:r w:rsidRPr="00296F65">
              <w:rPr>
                <w:b w:val="0"/>
              </w:rPr>
              <w:t>Subtotal</w:t>
            </w:r>
          </w:p>
        </w:tc>
        <w:tc>
          <w:tcPr>
            <w:cnfStyle w:val="000010000000" w:firstRow="0" w:lastRow="0" w:firstColumn="0" w:lastColumn="0" w:oddVBand="1" w:evenVBand="0" w:oddHBand="0" w:evenHBand="0" w:firstRowFirstColumn="0" w:firstRowLastColumn="0" w:lastRowFirstColumn="0" w:lastRowLastColumn="0"/>
            <w:tcW w:w="2545" w:type="dxa"/>
            <w:tcBorders>
              <w:top w:val="none" w:sz="0" w:space="0" w:color="auto"/>
            </w:tcBorders>
            <w:shd w:val="clear" w:color="auto" w:fill="FFFFFF" w:themeFill="background1"/>
            <w:vAlign w:val="center"/>
          </w:tcPr>
          <w:p w14:paraId="58388D8F" w14:textId="77777777" w:rsidR="00684AF2" w:rsidRPr="003C64D8" w:rsidRDefault="000D17E9" w:rsidP="00FF312A">
            <w:pPr>
              <w:keepNext/>
              <w:jc w:val="right"/>
            </w:pPr>
            <w:r w:rsidRPr="003C64D8">
              <w:t>4,828,654</w:t>
            </w:r>
          </w:p>
        </w:tc>
        <w:tc>
          <w:tcPr>
            <w:tcW w:w="2546" w:type="dxa"/>
            <w:tcBorders>
              <w:top w:val="none" w:sz="0" w:space="0" w:color="auto"/>
            </w:tcBorders>
            <w:shd w:val="clear" w:color="auto" w:fill="FFFFFF" w:themeFill="background1"/>
            <w:vAlign w:val="center"/>
          </w:tcPr>
          <w:p w14:paraId="0C9B8956" w14:textId="77777777" w:rsidR="00684AF2" w:rsidRPr="003C64D8" w:rsidRDefault="000D17E9" w:rsidP="00FF312A">
            <w:pPr>
              <w:keepNext/>
              <w:jc w:val="right"/>
              <w:cnfStyle w:val="010000000000" w:firstRow="0" w:lastRow="1" w:firstColumn="0" w:lastColumn="0" w:oddVBand="0" w:evenVBand="0" w:oddHBand="0" w:evenHBand="0" w:firstRowFirstColumn="0" w:firstRowLastColumn="0" w:lastRowFirstColumn="0" w:lastRowLastColumn="0"/>
            </w:pPr>
            <w:r w:rsidRPr="003C64D8">
              <w:t>4,453,436</w:t>
            </w:r>
          </w:p>
        </w:tc>
        <w:tc>
          <w:tcPr>
            <w:cnfStyle w:val="000100000000" w:firstRow="0" w:lastRow="0" w:firstColumn="0" w:lastColumn="1" w:oddVBand="0" w:evenVBand="0" w:oddHBand="0" w:evenHBand="0" w:firstRowFirstColumn="0" w:firstRowLastColumn="0" w:lastRowFirstColumn="0" w:lastRowLastColumn="0"/>
            <w:tcW w:w="2546" w:type="dxa"/>
            <w:tcBorders>
              <w:top w:val="none" w:sz="0" w:space="0" w:color="auto"/>
            </w:tcBorders>
            <w:shd w:val="clear" w:color="auto" w:fill="FFFFFF" w:themeFill="background1"/>
            <w:vAlign w:val="center"/>
          </w:tcPr>
          <w:p w14:paraId="45F05F50" w14:textId="77777777" w:rsidR="00684AF2" w:rsidRPr="003C64D8" w:rsidRDefault="00121015" w:rsidP="00FF312A">
            <w:pPr>
              <w:keepNext/>
              <w:jc w:val="right"/>
            </w:pPr>
            <w:r>
              <w:t>2,125,055</w:t>
            </w:r>
          </w:p>
        </w:tc>
      </w:tr>
    </w:tbl>
    <w:p w14:paraId="66BF4318" w14:textId="77777777" w:rsidR="00684AF2" w:rsidRPr="00296F65" w:rsidRDefault="00684AF2" w:rsidP="00684AF2">
      <w:pPr>
        <w:pStyle w:val="Caption"/>
        <w:jc w:val="center"/>
        <w:rPr>
          <w:rFonts w:ascii="Arial" w:hAnsi="Arial" w:cs="Arial"/>
          <w:sz w:val="16"/>
        </w:rPr>
      </w:pPr>
      <w:r w:rsidRPr="00296F65">
        <w:rPr>
          <w:rFonts w:ascii="Arial" w:hAnsi="Arial" w:cs="Arial"/>
          <w:sz w:val="16"/>
        </w:rPr>
        <w:t xml:space="preserve">Table </w:t>
      </w:r>
      <w:r w:rsidRPr="00296F65">
        <w:rPr>
          <w:rFonts w:ascii="Arial" w:hAnsi="Arial" w:cs="Arial"/>
          <w:sz w:val="16"/>
        </w:rPr>
        <w:fldChar w:fldCharType="begin"/>
      </w:r>
      <w:r w:rsidRPr="00296F65">
        <w:rPr>
          <w:rFonts w:ascii="Arial" w:hAnsi="Arial" w:cs="Arial"/>
          <w:sz w:val="16"/>
        </w:rPr>
        <w:instrText xml:space="preserve"> SEQ Table \* ARABIC </w:instrText>
      </w:r>
      <w:r w:rsidRPr="00296F65">
        <w:rPr>
          <w:rFonts w:ascii="Arial" w:hAnsi="Arial" w:cs="Arial"/>
          <w:sz w:val="16"/>
        </w:rPr>
        <w:fldChar w:fldCharType="separate"/>
      </w:r>
      <w:r w:rsidR="00AA534C">
        <w:rPr>
          <w:rFonts w:ascii="Arial" w:hAnsi="Arial" w:cs="Arial"/>
          <w:noProof/>
          <w:sz w:val="16"/>
        </w:rPr>
        <w:t>22</w:t>
      </w:r>
      <w:r w:rsidRPr="00296F65">
        <w:rPr>
          <w:rFonts w:ascii="Arial" w:hAnsi="Arial" w:cs="Arial"/>
          <w:sz w:val="16"/>
        </w:rPr>
        <w:fldChar w:fldCharType="end"/>
      </w:r>
      <w:r w:rsidRPr="00296F65">
        <w:rPr>
          <w:rFonts w:ascii="Arial" w:hAnsi="Arial" w:cs="Arial"/>
          <w:sz w:val="16"/>
        </w:rPr>
        <w:t xml:space="preserve"> – ESG Expenditures for Emergency Shelter</w:t>
      </w:r>
    </w:p>
    <w:p w14:paraId="527DCFED" w14:textId="77777777" w:rsidR="00684AF2" w:rsidRDefault="00684AF2" w:rsidP="00684AF2">
      <w:pPr>
        <w:rPr>
          <w:rFonts w:asciiTheme="minorHAnsi" w:hAnsiTheme="minorHAnsi" w:cs="Arial"/>
        </w:rPr>
      </w:pPr>
    </w:p>
    <w:p w14:paraId="3F9E99A1" w14:textId="77777777" w:rsidR="00684AF2" w:rsidRDefault="00684AF2" w:rsidP="00684AF2">
      <w:pPr>
        <w:keepNext/>
        <w:rPr>
          <w:b/>
          <w:szCs w:val="24"/>
        </w:rPr>
      </w:pPr>
      <w:r>
        <w:rPr>
          <w:b/>
          <w:szCs w:val="24"/>
        </w:rPr>
        <w:t xml:space="preserve">11d. </w:t>
      </w:r>
      <w:r w:rsidRPr="00296F65">
        <w:rPr>
          <w:b/>
          <w:i/>
          <w:szCs w:val="24"/>
        </w:rPr>
        <w:t>Other Grant Expenditures</w:t>
      </w:r>
    </w:p>
    <w:tbl>
      <w:tblPr>
        <w:tblStyle w:val="GridTable4-Accent3"/>
        <w:tblW w:w="5000" w:type="pct"/>
        <w:tblLayout w:type="fixed"/>
        <w:tblLook w:val="01E0" w:firstRow="1" w:lastRow="1" w:firstColumn="1" w:lastColumn="1" w:noHBand="0" w:noVBand="0"/>
      </w:tblPr>
      <w:tblGrid>
        <w:gridCol w:w="6753"/>
        <w:gridCol w:w="2545"/>
        <w:gridCol w:w="2546"/>
        <w:gridCol w:w="2546"/>
      </w:tblGrid>
      <w:tr w:rsidR="00FF312A" w14:paraId="254D84A1" w14:textId="77777777" w:rsidTr="00060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427889DC" w14:textId="77777777" w:rsidR="00FF312A" w:rsidRDefault="00FF312A" w:rsidP="00B4357F">
            <w:pPr>
              <w:keepNext/>
              <w:jc w:val="center"/>
            </w:pPr>
            <w:r>
              <w:t>Dollar Amount of Expenditures in Program Year</w:t>
            </w:r>
          </w:p>
        </w:tc>
      </w:tr>
      <w:tr w:rsidR="000D17E9" w14:paraId="6BCC3BFD" w14:textId="77777777" w:rsidTr="001C1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shd w:val="clear" w:color="auto" w:fill="87A9CB" w:themeFill="accent3" w:themeFillTint="99"/>
          </w:tcPr>
          <w:p w14:paraId="29E5E7CF" w14:textId="77777777" w:rsidR="000D17E9" w:rsidRDefault="000D17E9" w:rsidP="000D17E9">
            <w:pPr>
              <w:keepNext/>
            </w:pPr>
          </w:p>
        </w:tc>
        <w:tc>
          <w:tcPr>
            <w:cnfStyle w:val="000010000000" w:firstRow="0" w:lastRow="0" w:firstColumn="0" w:lastColumn="0" w:oddVBand="1" w:evenVBand="0" w:oddHBand="0" w:evenHBand="0" w:firstRowFirstColumn="0" w:firstRowLastColumn="0" w:lastRowFirstColumn="0" w:lastRowLastColumn="0"/>
            <w:tcW w:w="2545" w:type="dxa"/>
            <w:tcBorders>
              <w:bottom w:val="single" w:sz="4" w:space="0" w:color="auto"/>
            </w:tcBorders>
            <w:shd w:val="clear" w:color="auto" w:fill="87A9CB" w:themeFill="accent3" w:themeFillTint="99"/>
          </w:tcPr>
          <w:p w14:paraId="73FAC970" w14:textId="77777777" w:rsidR="000D17E9" w:rsidRPr="00B4357F" w:rsidRDefault="000D17E9" w:rsidP="000D17E9">
            <w:pPr>
              <w:keepNext/>
              <w:spacing w:beforeAutospacing="1" w:afterAutospacing="1"/>
              <w:jc w:val="center"/>
              <w:rPr>
                <w:b/>
                <w:color w:val="FFFFFF" w:themeColor="background1"/>
              </w:rPr>
            </w:pPr>
            <w:r w:rsidRPr="00684AF2">
              <w:rPr>
                <w:b/>
                <w:color w:val="FFFFFF" w:themeColor="background1"/>
              </w:rPr>
              <w:t>201</w:t>
            </w:r>
            <w:r>
              <w:rPr>
                <w:b/>
                <w:color w:val="FFFFFF" w:themeColor="background1"/>
              </w:rPr>
              <w:t>4</w:t>
            </w:r>
          </w:p>
        </w:tc>
        <w:tc>
          <w:tcPr>
            <w:tcW w:w="2546" w:type="dxa"/>
            <w:tcBorders>
              <w:bottom w:val="single" w:sz="4" w:space="0" w:color="auto"/>
            </w:tcBorders>
            <w:shd w:val="clear" w:color="auto" w:fill="87A9CB" w:themeFill="accent3" w:themeFillTint="99"/>
          </w:tcPr>
          <w:p w14:paraId="770EB456" w14:textId="77777777" w:rsidR="000D17E9" w:rsidRPr="00B4357F" w:rsidRDefault="000D17E9" w:rsidP="000D17E9">
            <w:pPr>
              <w:keepNext/>
              <w:spacing w:beforeAutospacing="1" w:afterAutospacing="1"/>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684AF2">
              <w:rPr>
                <w:b/>
                <w:color w:val="FFFFFF" w:themeColor="background1"/>
              </w:rPr>
              <w:t>201</w:t>
            </w:r>
            <w:r>
              <w:rPr>
                <w:b/>
                <w:color w:val="FFFFFF" w:themeColor="background1"/>
              </w:rPr>
              <w:t>5</w:t>
            </w:r>
          </w:p>
        </w:tc>
        <w:tc>
          <w:tcPr>
            <w:cnfStyle w:val="000100000000" w:firstRow="0" w:lastRow="0" w:firstColumn="0" w:lastColumn="1" w:oddVBand="0" w:evenVBand="0" w:oddHBand="0" w:evenHBand="0" w:firstRowFirstColumn="0" w:firstRowLastColumn="0" w:lastRowFirstColumn="0" w:lastRowLastColumn="0"/>
            <w:tcW w:w="2546" w:type="dxa"/>
            <w:tcBorders>
              <w:bottom w:val="single" w:sz="4" w:space="0" w:color="auto"/>
            </w:tcBorders>
            <w:shd w:val="clear" w:color="auto" w:fill="87A9CB" w:themeFill="accent3" w:themeFillTint="99"/>
          </w:tcPr>
          <w:p w14:paraId="0A2941C1" w14:textId="77777777" w:rsidR="000D17E9" w:rsidRPr="00B4357F" w:rsidRDefault="000D17E9" w:rsidP="000D17E9">
            <w:pPr>
              <w:keepNext/>
              <w:spacing w:before="100" w:beforeAutospacing="1" w:after="100" w:afterAutospacing="1"/>
              <w:jc w:val="center"/>
              <w:rPr>
                <w:b w:val="0"/>
                <w:color w:val="FFFFFF" w:themeColor="background1"/>
              </w:rPr>
            </w:pPr>
            <w:r w:rsidRPr="00684AF2">
              <w:rPr>
                <w:color w:val="FFFFFF" w:themeColor="background1"/>
              </w:rPr>
              <w:t>201</w:t>
            </w:r>
            <w:r>
              <w:rPr>
                <w:color w:val="FFFFFF" w:themeColor="background1"/>
              </w:rPr>
              <w:t>6</w:t>
            </w:r>
          </w:p>
        </w:tc>
      </w:tr>
      <w:tr w:rsidR="00684AF2" w14:paraId="6EFD39B1" w14:textId="77777777" w:rsidTr="00FF312A">
        <w:tc>
          <w:tcPr>
            <w:cnfStyle w:val="001000000000" w:firstRow="0" w:lastRow="0" w:firstColumn="1" w:lastColumn="0" w:oddVBand="0" w:evenVBand="0" w:oddHBand="0" w:evenHBand="0" w:firstRowFirstColumn="0" w:firstRowLastColumn="0" w:lastRowFirstColumn="0" w:lastRowLastColumn="0"/>
            <w:tcW w:w="6753" w:type="dxa"/>
          </w:tcPr>
          <w:p w14:paraId="15263F91" w14:textId="77777777" w:rsidR="00684AF2" w:rsidRPr="00B4357F" w:rsidRDefault="00684AF2" w:rsidP="00B4357F">
            <w:pPr>
              <w:keepNext/>
              <w:ind w:right="432"/>
              <w:rPr>
                <w:b w:val="0"/>
              </w:rPr>
            </w:pPr>
            <w:r w:rsidRPr="00B4357F">
              <w:rPr>
                <w:b w:val="0"/>
              </w:rPr>
              <w:t>Street Outreach</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77614B74" w14:textId="77777777" w:rsidR="00684AF2" w:rsidRPr="00C0352B" w:rsidRDefault="003C64D8" w:rsidP="00FF312A">
            <w:pPr>
              <w:keepNext/>
              <w:jc w:val="right"/>
            </w:pPr>
            <w:r>
              <w:t>471,688</w:t>
            </w:r>
          </w:p>
        </w:tc>
        <w:tc>
          <w:tcPr>
            <w:tcW w:w="2546" w:type="dxa"/>
            <w:shd w:val="clear" w:color="auto" w:fill="FFFFFF" w:themeFill="background1"/>
            <w:vAlign w:val="center"/>
          </w:tcPr>
          <w:p w14:paraId="6A98A0AB" w14:textId="77777777" w:rsidR="00684AF2" w:rsidRPr="00C0352B" w:rsidRDefault="003C64D8" w:rsidP="00FF312A">
            <w:pPr>
              <w:keepNext/>
              <w:jc w:val="right"/>
              <w:cnfStyle w:val="000000000000" w:firstRow="0" w:lastRow="0" w:firstColumn="0" w:lastColumn="0" w:oddVBand="0" w:evenVBand="0" w:oddHBand="0" w:evenHBand="0" w:firstRowFirstColumn="0" w:firstRowLastColumn="0" w:lastRowFirstColumn="0" w:lastRowLastColumn="0"/>
            </w:pPr>
            <w:r>
              <w:t>495,098</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7C589FF3" w14:textId="77777777" w:rsidR="00684AF2" w:rsidRPr="00C0352B" w:rsidRDefault="00121015" w:rsidP="00FF312A">
            <w:pPr>
              <w:keepNext/>
              <w:jc w:val="right"/>
              <w:rPr>
                <w:b w:val="0"/>
              </w:rPr>
            </w:pPr>
            <w:r>
              <w:rPr>
                <w:b w:val="0"/>
              </w:rPr>
              <w:t>236,701</w:t>
            </w:r>
          </w:p>
        </w:tc>
      </w:tr>
      <w:tr w:rsidR="00684AF2" w14:paraId="596FBC4F" w14:textId="77777777" w:rsidTr="00FF3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tcPr>
          <w:p w14:paraId="039B246E" w14:textId="77777777" w:rsidR="00684AF2" w:rsidRPr="00B4357F" w:rsidRDefault="00684AF2" w:rsidP="00B4357F">
            <w:pPr>
              <w:keepNext/>
              <w:ind w:right="432"/>
              <w:rPr>
                <w:b w:val="0"/>
              </w:rPr>
            </w:pPr>
            <w:r w:rsidRPr="00B4357F">
              <w:rPr>
                <w:b w:val="0"/>
              </w:rPr>
              <w:t>HMIS</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71D13D71" w14:textId="77777777" w:rsidR="00684AF2" w:rsidRPr="00C0352B" w:rsidRDefault="003C64D8" w:rsidP="00FF312A">
            <w:pPr>
              <w:keepNext/>
              <w:jc w:val="right"/>
            </w:pPr>
            <w:r>
              <w:t>128,462</w:t>
            </w:r>
          </w:p>
        </w:tc>
        <w:tc>
          <w:tcPr>
            <w:tcW w:w="2546" w:type="dxa"/>
            <w:shd w:val="clear" w:color="auto" w:fill="FFFFFF" w:themeFill="background1"/>
            <w:vAlign w:val="center"/>
          </w:tcPr>
          <w:p w14:paraId="032EFBB6" w14:textId="77777777" w:rsidR="00684AF2" w:rsidRPr="00C0352B" w:rsidRDefault="003C64D8" w:rsidP="00FF312A">
            <w:pPr>
              <w:keepNext/>
              <w:jc w:val="right"/>
              <w:cnfStyle w:val="000000100000" w:firstRow="0" w:lastRow="0" w:firstColumn="0" w:lastColumn="0" w:oddVBand="0" w:evenVBand="0" w:oddHBand="1" w:evenHBand="0" w:firstRowFirstColumn="0" w:firstRowLastColumn="0" w:lastRowFirstColumn="0" w:lastRowLastColumn="0"/>
            </w:pPr>
            <w:r>
              <w:t>119,566</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3C7B18B5" w14:textId="77777777" w:rsidR="00684AF2" w:rsidRPr="00C0352B" w:rsidRDefault="00121015" w:rsidP="00FF312A">
            <w:pPr>
              <w:keepNext/>
              <w:jc w:val="right"/>
              <w:rPr>
                <w:b w:val="0"/>
              </w:rPr>
            </w:pPr>
            <w:r>
              <w:rPr>
                <w:b w:val="0"/>
              </w:rPr>
              <w:t>256,793</w:t>
            </w:r>
          </w:p>
        </w:tc>
      </w:tr>
      <w:tr w:rsidR="00684AF2" w14:paraId="6180A4B3" w14:textId="77777777" w:rsidTr="00FF31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tcPr>
          <w:p w14:paraId="2E980A67" w14:textId="77777777" w:rsidR="00684AF2" w:rsidRPr="00B4357F" w:rsidRDefault="00684AF2" w:rsidP="00B4357F">
            <w:pPr>
              <w:keepNext/>
              <w:ind w:right="432"/>
              <w:rPr>
                <w:b w:val="0"/>
              </w:rPr>
            </w:pPr>
            <w:r w:rsidRPr="00B4357F">
              <w:rPr>
                <w:b w:val="0"/>
              </w:rPr>
              <w:t>Administration</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19D3D3E2" w14:textId="77777777" w:rsidR="00684AF2" w:rsidRPr="003C64D8" w:rsidRDefault="003C64D8" w:rsidP="00FF312A">
            <w:pPr>
              <w:keepNext/>
              <w:jc w:val="right"/>
            </w:pPr>
            <w:r w:rsidRPr="003C64D8">
              <w:t>328,727</w:t>
            </w:r>
          </w:p>
        </w:tc>
        <w:tc>
          <w:tcPr>
            <w:tcW w:w="2546" w:type="dxa"/>
            <w:shd w:val="clear" w:color="auto" w:fill="FFFFFF" w:themeFill="background1"/>
            <w:vAlign w:val="center"/>
          </w:tcPr>
          <w:p w14:paraId="6E743CFF" w14:textId="77777777" w:rsidR="00684AF2" w:rsidRPr="003C64D8" w:rsidRDefault="003C64D8" w:rsidP="00FF312A">
            <w:pPr>
              <w:keepNext/>
              <w:jc w:val="right"/>
              <w:cnfStyle w:val="010000000000" w:firstRow="0" w:lastRow="1" w:firstColumn="0" w:lastColumn="0" w:oddVBand="0" w:evenVBand="0" w:oddHBand="0" w:evenHBand="0" w:firstRowFirstColumn="0" w:firstRowLastColumn="0" w:lastRowFirstColumn="0" w:lastRowLastColumn="0"/>
            </w:pPr>
            <w:r w:rsidRPr="003C64D8">
              <w:t>83,093</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7C54EFCE" w14:textId="77777777" w:rsidR="00684AF2" w:rsidRPr="003C64D8" w:rsidRDefault="00121015" w:rsidP="00FF312A">
            <w:pPr>
              <w:keepNext/>
              <w:jc w:val="right"/>
            </w:pPr>
            <w:r>
              <w:t>107,003</w:t>
            </w:r>
          </w:p>
        </w:tc>
      </w:tr>
    </w:tbl>
    <w:p w14:paraId="1F3B5267" w14:textId="77777777" w:rsidR="00684AF2" w:rsidRPr="00B4357F" w:rsidRDefault="00684AF2" w:rsidP="00684AF2">
      <w:pPr>
        <w:pStyle w:val="Caption"/>
        <w:jc w:val="center"/>
        <w:rPr>
          <w:rFonts w:ascii="Arial" w:hAnsi="Arial" w:cs="Arial"/>
        </w:rPr>
      </w:pPr>
      <w:r w:rsidRPr="00B4357F">
        <w:rPr>
          <w:rFonts w:ascii="Arial" w:hAnsi="Arial" w:cs="Arial"/>
          <w:sz w:val="16"/>
        </w:rPr>
        <w:t xml:space="preserve">Table </w:t>
      </w:r>
      <w:r w:rsidRPr="00B4357F">
        <w:rPr>
          <w:rFonts w:ascii="Arial" w:hAnsi="Arial" w:cs="Arial"/>
          <w:sz w:val="16"/>
        </w:rPr>
        <w:fldChar w:fldCharType="begin"/>
      </w:r>
      <w:r w:rsidRPr="00B4357F">
        <w:rPr>
          <w:rFonts w:ascii="Arial" w:hAnsi="Arial" w:cs="Arial"/>
          <w:sz w:val="16"/>
        </w:rPr>
        <w:instrText xml:space="preserve"> SEQ Table \* ARABIC </w:instrText>
      </w:r>
      <w:r w:rsidRPr="00B4357F">
        <w:rPr>
          <w:rFonts w:ascii="Arial" w:hAnsi="Arial" w:cs="Arial"/>
          <w:sz w:val="16"/>
        </w:rPr>
        <w:fldChar w:fldCharType="separate"/>
      </w:r>
      <w:r w:rsidR="00AA534C">
        <w:rPr>
          <w:rFonts w:ascii="Arial" w:hAnsi="Arial" w:cs="Arial"/>
          <w:noProof/>
          <w:sz w:val="16"/>
        </w:rPr>
        <w:t>23</w:t>
      </w:r>
      <w:r w:rsidRPr="00B4357F">
        <w:rPr>
          <w:rFonts w:ascii="Arial" w:hAnsi="Arial" w:cs="Arial"/>
          <w:sz w:val="16"/>
        </w:rPr>
        <w:fldChar w:fldCharType="end"/>
      </w:r>
      <w:r w:rsidRPr="00B4357F">
        <w:rPr>
          <w:rFonts w:ascii="Arial" w:hAnsi="Arial" w:cs="Arial"/>
          <w:sz w:val="16"/>
        </w:rPr>
        <w:t xml:space="preserve"> - Other Grant Expenditures</w:t>
      </w:r>
    </w:p>
    <w:p w14:paraId="41D4F80F" w14:textId="77777777" w:rsidR="00684AF2" w:rsidRDefault="00684AF2" w:rsidP="00684AF2">
      <w:pPr>
        <w:rPr>
          <w:rFonts w:cs="Arial"/>
        </w:rPr>
      </w:pPr>
      <w:r>
        <w:rPr>
          <w:b/>
          <w:szCs w:val="24"/>
        </w:rPr>
        <w:t>11e. Total ESG Grant Funds</w:t>
      </w:r>
    </w:p>
    <w:tbl>
      <w:tblPr>
        <w:tblStyle w:val="GridTable4-Accent3"/>
        <w:tblW w:w="4062" w:type="pct"/>
        <w:tblInd w:w="823" w:type="dxa"/>
        <w:tblLayout w:type="fixed"/>
        <w:tblLook w:val="01E0" w:firstRow="1" w:lastRow="1" w:firstColumn="1" w:lastColumn="1" w:noHBand="0" w:noVBand="0"/>
      </w:tblPr>
      <w:tblGrid>
        <w:gridCol w:w="4053"/>
        <w:gridCol w:w="2545"/>
        <w:gridCol w:w="2546"/>
        <w:gridCol w:w="2546"/>
      </w:tblGrid>
      <w:tr w:rsidR="000D17E9" w14:paraId="799E6211" w14:textId="77777777" w:rsidTr="001C1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3" w:type="dxa"/>
          </w:tcPr>
          <w:p w14:paraId="223D2B99" w14:textId="77777777" w:rsidR="000D17E9" w:rsidRDefault="000D17E9" w:rsidP="000D17E9">
            <w:pPr>
              <w:keepNext/>
              <w:jc w:val="center"/>
            </w:pPr>
            <w:r>
              <w:t>Total ESG Funds Expended</w:t>
            </w:r>
          </w:p>
        </w:tc>
        <w:tc>
          <w:tcPr>
            <w:cnfStyle w:val="000010000000" w:firstRow="0" w:lastRow="0" w:firstColumn="0" w:lastColumn="0" w:oddVBand="1" w:evenVBand="0" w:oddHBand="0" w:evenHBand="0" w:firstRowFirstColumn="0" w:firstRowLastColumn="0" w:lastRowFirstColumn="0" w:lastRowLastColumn="0"/>
            <w:tcW w:w="2545" w:type="dxa"/>
            <w:tcBorders>
              <w:bottom w:val="single" w:sz="4" w:space="0" w:color="auto"/>
            </w:tcBorders>
            <w:shd w:val="clear" w:color="auto" w:fill="87A9CB" w:themeFill="accent3" w:themeFillTint="99"/>
          </w:tcPr>
          <w:p w14:paraId="1FBE3F63" w14:textId="77777777" w:rsidR="000D17E9" w:rsidRDefault="000D17E9" w:rsidP="000D17E9">
            <w:pPr>
              <w:keepNext/>
              <w:spacing w:before="100" w:beforeAutospacing="1" w:after="100" w:afterAutospacing="1"/>
              <w:jc w:val="center"/>
              <w:rPr>
                <w:b w:val="0"/>
              </w:rPr>
            </w:pPr>
            <w:r w:rsidRPr="00684AF2">
              <w:rPr>
                <w:b w:val="0"/>
              </w:rPr>
              <w:t>201</w:t>
            </w:r>
            <w:r>
              <w:rPr>
                <w:b w:val="0"/>
              </w:rPr>
              <w:t>4</w:t>
            </w:r>
          </w:p>
        </w:tc>
        <w:tc>
          <w:tcPr>
            <w:tcW w:w="2546" w:type="dxa"/>
            <w:tcBorders>
              <w:bottom w:val="single" w:sz="4" w:space="0" w:color="auto"/>
            </w:tcBorders>
            <w:shd w:val="clear" w:color="auto" w:fill="87A9CB" w:themeFill="accent3" w:themeFillTint="99"/>
          </w:tcPr>
          <w:p w14:paraId="60927249" w14:textId="77777777" w:rsidR="000D17E9" w:rsidRDefault="000D17E9" w:rsidP="000D17E9">
            <w:pPr>
              <w:keepNext/>
              <w:spacing w:beforeAutospacing="1" w:afterAutospacing="1"/>
              <w:jc w:val="center"/>
              <w:cnfStyle w:val="100000000000" w:firstRow="1" w:lastRow="0" w:firstColumn="0" w:lastColumn="0" w:oddVBand="0" w:evenVBand="0" w:oddHBand="0" w:evenHBand="0" w:firstRowFirstColumn="0" w:firstRowLastColumn="0" w:lastRowFirstColumn="0" w:lastRowLastColumn="0"/>
              <w:rPr>
                <w:b w:val="0"/>
              </w:rPr>
            </w:pPr>
            <w:r w:rsidRPr="00684AF2">
              <w:rPr>
                <w:b w:val="0"/>
              </w:rPr>
              <w:t>201</w:t>
            </w:r>
            <w:r>
              <w:rPr>
                <w:b w:val="0"/>
              </w:rPr>
              <w:t>5</w:t>
            </w:r>
          </w:p>
        </w:tc>
        <w:tc>
          <w:tcPr>
            <w:cnfStyle w:val="000100000000" w:firstRow="0" w:lastRow="0" w:firstColumn="0" w:lastColumn="1" w:oddVBand="0" w:evenVBand="0" w:oddHBand="0" w:evenHBand="0" w:firstRowFirstColumn="0" w:firstRowLastColumn="0" w:lastRowFirstColumn="0" w:lastRowLastColumn="0"/>
            <w:tcW w:w="2546" w:type="dxa"/>
            <w:tcBorders>
              <w:bottom w:val="single" w:sz="4" w:space="0" w:color="auto"/>
            </w:tcBorders>
            <w:shd w:val="clear" w:color="auto" w:fill="87A9CB" w:themeFill="accent3" w:themeFillTint="99"/>
          </w:tcPr>
          <w:p w14:paraId="6D3732A2" w14:textId="77777777" w:rsidR="000D17E9" w:rsidRDefault="000D17E9" w:rsidP="000D17E9">
            <w:pPr>
              <w:keepNext/>
              <w:spacing w:beforeAutospacing="1" w:afterAutospacing="1"/>
              <w:jc w:val="center"/>
              <w:rPr>
                <w:b w:val="0"/>
              </w:rPr>
            </w:pPr>
            <w:r w:rsidRPr="00684AF2">
              <w:t>201</w:t>
            </w:r>
            <w:r>
              <w:t>6</w:t>
            </w:r>
          </w:p>
        </w:tc>
      </w:tr>
      <w:tr w:rsidR="00684AF2" w14:paraId="2F9DC940" w14:textId="77777777" w:rsidTr="00FF31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3" w:type="dxa"/>
          </w:tcPr>
          <w:p w14:paraId="4C2511B3" w14:textId="77777777" w:rsidR="00684AF2" w:rsidRDefault="00121015" w:rsidP="00B4357F">
            <w:pPr>
              <w:keepNext/>
              <w:ind w:right="432"/>
              <w:jc w:val="center"/>
            </w:pPr>
            <w:r>
              <w:t>21,072,075</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4524CCAE" w14:textId="77777777" w:rsidR="00684AF2" w:rsidRPr="00C0352B" w:rsidRDefault="003C64D8" w:rsidP="00FF312A">
            <w:pPr>
              <w:keepNext/>
              <w:jc w:val="right"/>
              <w:rPr>
                <w:b w:val="0"/>
              </w:rPr>
            </w:pPr>
            <w:r>
              <w:rPr>
                <w:b w:val="0"/>
              </w:rPr>
              <w:t>8,127,980</w:t>
            </w:r>
          </w:p>
        </w:tc>
        <w:tc>
          <w:tcPr>
            <w:tcW w:w="2546" w:type="dxa"/>
            <w:vAlign w:val="center"/>
          </w:tcPr>
          <w:p w14:paraId="2FCD0215" w14:textId="77777777" w:rsidR="00684AF2" w:rsidRPr="00C0352B" w:rsidRDefault="003C64D8" w:rsidP="00FF312A">
            <w:pPr>
              <w:keepNext/>
              <w:jc w:val="right"/>
              <w:cnfStyle w:val="010000000000" w:firstRow="0" w:lastRow="1" w:firstColumn="0" w:lastColumn="0" w:oddVBand="0" w:evenVBand="0" w:oddHBand="0" w:evenHBand="0" w:firstRowFirstColumn="0" w:firstRowLastColumn="0" w:lastRowFirstColumn="0" w:lastRowLastColumn="0"/>
              <w:rPr>
                <w:b w:val="0"/>
              </w:rPr>
            </w:pPr>
            <w:r>
              <w:rPr>
                <w:b w:val="0"/>
              </w:rPr>
              <w:t>8,216,854</w:t>
            </w:r>
          </w:p>
        </w:tc>
        <w:tc>
          <w:tcPr>
            <w:cnfStyle w:val="000100000000" w:firstRow="0" w:lastRow="0" w:firstColumn="0" w:lastColumn="1" w:oddVBand="0" w:evenVBand="0" w:oddHBand="0" w:evenHBand="0" w:firstRowFirstColumn="0" w:firstRowLastColumn="0" w:lastRowFirstColumn="0" w:lastRowLastColumn="0"/>
            <w:tcW w:w="2546" w:type="dxa"/>
            <w:vAlign w:val="center"/>
          </w:tcPr>
          <w:p w14:paraId="66D5B56B" w14:textId="77777777" w:rsidR="00684AF2" w:rsidRPr="00C0352B" w:rsidRDefault="00121015" w:rsidP="00FF312A">
            <w:pPr>
              <w:keepNext/>
              <w:jc w:val="right"/>
              <w:rPr>
                <w:b w:val="0"/>
              </w:rPr>
            </w:pPr>
            <w:r>
              <w:rPr>
                <w:b w:val="0"/>
              </w:rPr>
              <w:t>4,727,241</w:t>
            </w:r>
          </w:p>
        </w:tc>
      </w:tr>
    </w:tbl>
    <w:p w14:paraId="533E6DFF" w14:textId="77777777" w:rsidR="00684AF2" w:rsidRPr="00B4357F" w:rsidRDefault="00684AF2" w:rsidP="00B4357F">
      <w:pPr>
        <w:pStyle w:val="Caption"/>
        <w:jc w:val="center"/>
        <w:rPr>
          <w:rFonts w:ascii="Arial" w:hAnsi="Arial" w:cs="Arial"/>
          <w:sz w:val="16"/>
        </w:rPr>
      </w:pPr>
      <w:r w:rsidRPr="00B4357F">
        <w:rPr>
          <w:rFonts w:ascii="Arial" w:hAnsi="Arial" w:cs="Arial"/>
          <w:sz w:val="16"/>
        </w:rPr>
        <w:t xml:space="preserve">Table </w:t>
      </w:r>
      <w:r w:rsidRPr="00B4357F">
        <w:rPr>
          <w:rFonts w:ascii="Arial" w:hAnsi="Arial" w:cs="Arial"/>
          <w:sz w:val="16"/>
        </w:rPr>
        <w:fldChar w:fldCharType="begin"/>
      </w:r>
      <w:r w:rsidRPr="00B4357F">
        <w:rPr>
          <w:rFonts w:ascii="Arial" w:hAnsi="Arial" w:cs="Arial"/>
          <w:sz w:val="16"/>
        </w:rPr>
        <w:instrText xml:space="preserve"> SEQ Table \* ARABIC </w:instrText>
      </w:r>
      <w:r w:rsidRPr="00B4357F">
        <w:rPr>
          <w:rFonts w:ascii="Arial" w:hAnsi="Arial" w:cs="Arial"/>
          <w:sz w:val="16"/>
        </w:rPr>
        <w:fldChar w:fldCharType="separate"/>
      </w:r>
      <w:r w:rsidR="00AA534C">
        <w:rPr>
          <w:rFonts w:ascii="Arial" w:hAnsi="Arial" w:cs="Arial"/>
          <w:noProof/>
          <w:sz w:val="16"/>
        </w:rPr>
        <w:t>24</w:t>
      </w:r>
      <w:r w:rsidRPr="00B4357F">
        <w:rPr>
          <w:rFonts w:ascii="Arial" w:hAnsi="Arial" w:cs="Arial"/>
          <w:sz w:val="16"/>
        </w:rPr>
        <w:fldChar w:fldCharType="end"/>
      </w:r>
      <w:r w:rsidRPr="00B4357F">
        <w:rPr>
          <w:rFonts w:ascii="Arial" w:hAnsi="Arial" w:cs="Arial"/>
          <w:sz w:val="16"/>
        </w:rPr>
        <w:t xml:space="preserve"> - Total ESG Funds Expended</w:t>
      </w:r>
    </w:p>
    <w:p w14:paraId="1D0EAFFF" w14:textId="77777777" w:rsidR="00684AF2" w:rsidRDefault="00684AF2" w:rsidP="00684AF2">
      <w:pPr>
        <w:rPr>
          <w:rFonts w:cs="Arial"/>
        </w:rPr>
      </w:pPr>
    </w:p>
    <w:p w14:paraId="578293BD" w14:textId="77777777" w:rsidR="00BA1F82" w:rsidRDefault="00BA1F82" w:rsidP="00BA1F82">
      <w:pPr>
        <w:widowControl w:val="0"/>
        <w:spacing w:after="100" w:afterAutospacing="1"/>
        <w:jc w:val="center"/>
        <w:rPr>
          <w:b/>
          <w:i/>
        </w:rPr>
      </w:pPr>
    </w:p>
    <w:p w14:paraId="476AAC27" w14:textId="77777777" w:rsidR="00BA1F82" w:rsidRDefault="00BA1F82" w:rsidP="00BA1F82">
      <w:pPr>
        <w:widowControl w:val="0"/>
        <w:spacing w:after="100" w:afterAutospacing="1"/>
        <w:jc w:val="center"/>
        <w:rPr>
          <w:b/>
          <w:i/>
        </w:rPr>
      </w:pPr>
    </w:p>
    <w:p w14:paraId="625B1C9F" w14:textId="77777777" w:rsidR="00BA1F82" w:rsidRDefault="00BA1F82" w:rsidP="00BA1F82">
      <w:pPr>
        <w:widowControl w:val="0"/>
        <w:spacing w:after="100" w:afterAutospacing="1"/>
        <w:jc w:val="center"/>
        <w:rPr>
          <w:b/>
          <w:i/>
        </w:rPr>
      </w:pPr>
    </w:p>
    <w:p w14:paraId="0464029A" w14:textId="77777777" w:rsidR="00684AF2" w:rsidRDefault="00684AF2" w:rsidP="00684AF2">
      <w:pPr>
        <w:keepNext/>
        <w:rPr>
          <w:b/>
          <w:szCs w:val="24"/>
        </w:rPr>
      </w:pPr>
      <w:r>
        <w:rPr>
          <w:b/>
          <w:szCs w:val="24"/>
        </w:rPr>
        <w:lastRenderedPageBreak/>
        <w:t>11f. Match Source</w:t>
      </w:r>
    </w:p>
    <w:tbl>
      <w:tblPr>
        <w:tblStyle w:val="GridTable4-Accent3"/>
        <w:tblW w:w="5000" w:type="pct"/>
        <w:tblLayout w:type="fixed"/>
        <w:tblLook w:val="01E0" w:firstRow="1" w:lastRow="1" w:firstColumn="1" w:lastColumn="1" w:noHBand="0" w:noVBand="0"/>
      </w:tblPr>
      <w:tblGrid>
        <w:gridCol w:w="6753"/>
        <w:gridCol w:w="2545"/>
        <w:gridCol w:w="2546"/>
        <w:gridCol w:w="2546"/>
      </w:tblGrid>
      <w:tr w:rsidR="000D17E9" w14:paraId="60B62296" w14:textId="77777777" w:rsidTr="000D1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tcPr>
          <w:p w14:paraId="0BC47EBA" w14:textId="77777777" w:rsidR="000D17E9" w:rsidRDefault="000D17E9" w:rsidP="000D17E9">
            <w:pPr>
              <w:keepNext/>
            </w:pPr>
          </w:p>
        </w:tc>
        <w:tc>
          <w:tcPr>
            <w:cnfStyle w:val="000010000000" w:firstRow="0" w:lastRow="0" w:firstColumn="0" w:lastColumn="0" w:oddVBand="1" w:evenVBand="0" w:oddHBand="0" w:evenHBand="0" w:firstRowFirstColumn="0" w:firstRowLastColumn="0" w:lastRowFirstColumn="0" w:lastRowLastColumn="0"/>
            <w:tcW w:w="2545" w:type="dxa"/>
            <w:tcBorders>
              <w:bottom w:val="single" w:sz="4" w:space="0" w:color="auto"/>
            </w:tcBorders>
            <w:shd w:val="clear" w:color="auto" w:fill="87A9CB" w:themeFill="accent3" w:themeFillTint="99"/>
          </w:tcPr>
          <w:p w14:paraId="0C3E6291" w14:textId="77777777" w:rsidR="000D17E9" w:rsidRDefault="000D17E9" w:rsidP="000D17E9">
            <w:pPr>
              <w:keepNext/>
              <w:spacing w:beforeAutospacing="1" w:afterAutospacing="1"/>
              <w:jc w:val="center"/>
              <w:rPr>
                <w:b w:val="0"/>
              </w:rPr>
            </w:pPr>
            <w:r w:rsidRPr="00684AF2">
              <w:rPr>
                <w:b w:val="0"/>
              </w:rPr>
              <w:t>201</w:t>
            </w:r>
            <w:r>
              <w:rPr>
                <w:b w:val="0"/>
              </w:rPr>
              <w:t>4</w:t>
            </w:r>
          </w:p>
        </w:tc>
        <w:tc>
          <w:tcPr>
            <w:tcW w:w="2546" w:type="dxa"/>
            <w:tcBorders>
              <w:bottom w:val="single" w:sz="4" w:space="0" w:color="auto"/>
            </w:tcBorders>
            <w:shd w:val="clear" w:color="auto" w:fill="87A9CB" w:themeFill="accent3" w:themeFillTint="99"/>
          </w:tcPr>
          <w:p w14:paraId="5058029B" w14:textId="77777777" w:rsidR="000D17E9" w:rsidRDefault="000D17E9" w:rsidP="000D17E9">
            <w:pPr>
              <w:keepNext/>
              <w:spacing w:beforeAutospacing="1" w:afterAutospacing="1"/>
              <w:jc w:val="center"/>
              <w:cnfStyle w:val="100000000000" w:firstRow="1" w:lastRow="0" w:firstColumn="0" w:lastColumn="0" w:oddVBand="0" w:evenVBand="0" w:oddHBand="0" w:evenHBand="0" w:firstRowFirstColumn="0" w:firstRowLastColumn="0" w:lastRowFirstColumn="0" w:lastRowLastColumn="0"/>
              <w:rPr>
                <w:b w:val="0"/>
              </w:rPr>
            </w:pPr>
            <w:r w:rsidRPr="00684AF2">
              <w:rPr>
                <w:b w:val="0"/>
              </w:rPr>
              <w:t>201</w:t>
            </w:r>
            <w:r>
              <w:rPr>
                <w:b w:val="0"/>
              </w:rPr>
              <w:t>5</w:t>
            </w:r>
          </w:p>
        </w:tc>
        <w:tc>
          <w:tcPr>
            <w:cnfStyle w:val="000100000000" w:firstRow="0" w:lastRow="0" w:firstColumn="0" w:lastColumn="1" w:oddVBand="0" w:evenVBand="0" w:oddHBand="0" w:evenHBand="0" w:firstRowFirstColumn="0" w:firstRowLastColumn="0" w:lastRowFirstColumn="0" w:lastRowLastColumn="0"/>
            <w:tcW w:w="2546" w:type="dxa"/>
            <w:tcBorders>
              <w:bottom w:val="single" w:sz="4" w:space="0" w:color="auto"/>
            </w:tcBorders>
            <w:shd w:val="clear" w:color="auto" w:fill="87A9CB" w:themeFill="accent3" w:themeFillTint="99"/>
          </w:tcPr>
          <w:p w14:paraId="5B68DB69" w14:textId="77777777" w:rsidR="000D17E9" w:rsidRDefault="000D17E9" w:rsidP="000D17E9">
            <w:pPr>
              <w:keepNext/>
              <w:spacing w:beforeAutospacing="1" w:afterAutospacing="1"/>
              <w:jc w:val="center"/>
              <w:rPr>
                <w:b w:val="0"/>
              </w:rPr>
            </w:pPr>
            <w:r w:rsidRPr="00684AF2">
              <w:t>201</w:t>
            </w:r>
            <w:r>
              <w:t>6</w:t>
            </w:r>
          </w:p>
        </w:tc>
      </w:tr>
      <w:tr w:rsidR="00684AF2" w14:paraId="3BA4E54C" w14:textId="77777777" w:rsidTr="000D1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tcPr>
          <w:p w14:paraId="4659AD5B" w14:textId="77777777" w:rsidR="00684AF2" w:rsidRPr="00B4357F" w:rsidRDefault="00684AF2" w:rsidP="00B4357F">
            <w:pPr>
              <w:keepNext/>
              <w:ind w:right="432"/>
              <w:rPr>
                <w:b w:val="0"/>
              </w:rPr>
            </w:pPr>
            <w:r w:rsidRPr="00B4357F">
              <w:rPr>
                <w:b w:val="0"/>
              </w:rPr>
              <w:t>Other Non-ESG HUD Funds</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795C663B" w14:textId="77777777" w:rsidR="00684AF2" w:rsidRPr="00C0352B" w:rsidRDefault="003C64D8" w:rsidP="00FF312A">
            <w:pPr>
              <w:keepNext/>
              <w:jc w:val="right"/>
            </w:pPr>
            <w:r>
              <w:t>1,494,548</w:t>
            </w:r>
          </w:p>
        </w:tc>
        <w:tc>
          <w:tcPr>
            <w:tcW w:w="2546" w:type="dxa"/>
            <w:shd w:val="clear" w:color="auto" w:fill="FFFFFF" w:themeFill="background1"/>
            <w:vAlign w:val="center"/>
          </w:tcPr>
          <w:p w14:paraId="68CACE08" w14:textId="77777777" w:rsidR="00684AF2" w:rsidRPr="00C0352B" w:rsidRDefault="003C64D8" w:rsidP="00FF312A">
            <w:pPr>
              <w:keepNext/>
              <w:jc w:val="right"/>
              <w:cnfStyle w:val="000000100000" w:firstRow="0" w:lastRow="0" w:firstColumn="0" w:lastColumn="0" w:oddVBand="0" w:evenVBand="0" w:oddHBand="1" w:evenHBand="0" w:firstRowFirstColumn="0" w:firstRowLastColumn="0" w:lastRowFirstColumn="0" w:lastRowLastColumn="0"/>
            </w:pPr>
            <w:r>
              <w:t>784,610</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474EF8A0" w14:textId="77777777" w:rsidR="00684AF2" w:rsidRPr="00C0352B" w:rsidRDefault="002109B7" w:rsidP="00FF312A">
            <w:pPr>
              <w:keepNext/>
              <w:jc w:val="right"/>
              <w:rPr>
                <w:b w:val="0"/>
              </w:rPr>
            </w:pPr>
            <w:r>
              <w:rPr>
                <w:b w:val="0"/>
              </w:rPr>
              <w:t>280,800</w:t>
            </w:r>
          </w:p>
        </w:tc>
      </w:tr>
      <w:tr w:rsidR="00684AF2" w14:paraId="1FAB69DF" w14:textId="77777777" w:rsidTr="000D17E9">
        <w:tc>
          <w:tcPr>
            <w:cnfStyle w:val="001000000000" w:firstRow="0" w:lastRow="0" w:firstColumn="1" w:lastColumn="0" w:oddVBand="0" w:evenVBand="0" w:oddHBand="0" w:evenHBand="0" w:firstRowFirstColumn="0" w:firstRowLastColumn="0" w:lastRowFirstColumn="0" w:lastRowLastColumn="0"/>
            <w:tcW w:w="6753" w:type="dxa"/>
          </w:tcPr>
          <w:p w14:paraId="3FFD5FEA" w14:textId="77777777" w:rsidR="00684AF2" w:rsidRPr="00B4357F" w:rsidRDefault="00684AF2" w:rsidP="00B4357F">
            <w:pPr>
              <w:keepNext/>
              <w:ind w:right="432"/>
              <w:rPr>
                <w:b w:val="0"/>
              </w:rPr>
            </w:pPr>
            <w:r w:rsidRPr="00B4357F">
              <w:rPr>
                <w:b w:val="0"/>
              </w:rPr>
              <w:t>Other Federal Funds</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76555C89" w14:textId="77777777" w:rsidR="00684AF2" w:rsidRPr="00C0352B" w:rsidRDefault="003C64D8" w:rsidP="00FF312A">
            <w:pPr>
              <w:keepNext/>
              <w:jc w:val="right"/>
            </w:pPr>
            <w:r>
              <w:t>657,774</w:t>
            </w:r>
          </w:p>
        </w:tc>
        <w:tc>
          <w:tcPr>
            <w:tcW w:w="2546" w:type="dxa"/>
            <w:shd w:val="clear" w:color="auto" w:fill="FFFFFF" w:themeFill="background1"/>
            <w:vAlign w:val="center"/>
          </w:tcPr>
          <w:p w14:paraId="43CBED61" w14:textId="77777777" w:rsidR="00684AF2" w:rsidRPr="00C0352B" w:rsidRDefault="003C64D8" w:rsidP="00FF312A">
            <w:pPr>
              <w:keepNext/>
              <w:jc w:val="right"/>
              <w:cnfStyle w:val="000000000000" w:firstRow="0" w:lastRow="0" w:firstColumn="0" w:lastColumn="0" w:oddVBand="0" w:evenVBand="0" w:oddHBand="0" w:evenHBand="0" w:firstRowFirstColumn="0" w:firstRowLastColumn="0" w:lastRowFirstColumn="0" w:lastRowLastColumn="0"/>
            </w:pPr>
            <w:r>
              <w:t>1,444,077</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015E7497" w14:textId="77777777" w:rsidR="00684AF2" w:rsidRPr="00C0352B" w:rsidRDefault="002109B7" w:rsidP="00FF312A">
            <w:pPr>
              <w:keepNext/>
              <w:jc w:val="right"/>
              <w:rPr>
                <w:b w:val="0"/>
              </w:rPr>
            </w:pPr>
            <w:r>
              <w:rPr>
                <w:b w:val="0"/>
              </w:rPr>
              <w:t>853,334</w:t>
            </w:r>
          </w:p>
        </w:tc>
      </w:tr>
      <w:tr w:rsidR="00684AF2" w14:paraId="1F686DE1" w14:textId="77777777" w:rsidTr="000D1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tcPr>
          <w:p w14:paraId="0E095F84" w14:textId="77777777" w:rsidR="00684AF2" w:rsidRPr="00B4357F" w:rsidRDefault="00684AF2" w:rsidP="00B4357F">
            <w:pPr>
              <w:keepNext/>
              <w:ind w:right="432"/>
              <w:rPr>
                <w:b w:val="0"/>
              </w:rPr>
            </w:pPr>
            <w:r w:rsidRPr="00B4357F">
              <w:rPr>
                <w:b w:val="0"/>
              </w:rPr>
              <w:t>State Government</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18A1FF38" w14:textId="77777777" w:rsidR="00684AF2" w:rsidRPr="00C0352B" w:rsidRDefault="003C64D8" w:rsidP="00FF312A">
            <w:pPr>
              <w:keepNext/>
              <w:jc w:val="right"/>
            </w:pPr>
            <w:r>
              <w:t>1,706,566</w:t>
            </w:r>
          </w:p>
        </w:tc>
        <w:tc>
          <w:tcPr>
            <w:tcW w:w="2546" w:type="dxa"/>
            <w:shd w:val="clear" w:color="auto" w:fill="FFFFFF" w:themeFill="background1"/>
            <w:vAlign w:val="center"/>
          </w:tcPr>
          <w:p w14:paraId="19C8C247" w14:textId="77777777" w:rsidR="00684AF2" w:rsidRPr="00C0352B" w:rsidRDefault="003C64D8" w:rsidP="00FF312A">
            <w:pPr>
              <w:keepNext/>
              <w:jc w:val="right"/>
              <w:cnfStyle w:val="000000100000" w:firstRow="0" w:lastRow="0" w:firstColumn="0" w:lastColumn="0" w:oddVBand="0" w:evenVBand="0" w:oddHBand="1" w:evenHBand="0" w:firstRowFirstColumn="0" w:firstRowLastColumn="0" w:lastRowFirstColumn="0" w:lastRowLastColumn="0"/>
            </w:pPr>
            <w:r>
              <w:t>2.038.524</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45D1DF18" w14:textId="77777777" w:rsidR="00684AF2" w:rsidRPr="00C0352B" w:rsidRDefault="002109B7" w:rsidP="00FF312A">
            <w:pPr>
              <w:keepNext/>
              <w:jc w:val="right"/>
              <w:rPr>
                <w:b w:val="0"/>
              </w:rPr>
            </w:pPr>
            <w:r>
              <w:rPr>
                <w:b w:val="0"/>
              </w:rPr>
              <w:t>1,577,387</w:t>
            </w:r>
          </w:p>
        </w:tc>
      </w:tr>
      <w:tr w:rsidR="00684AF2" w14:paraId="63F6702A" w14:textId="77777777" w:rsidTr="000D17E9">
        <w:tc>
          <w:tcPr>
            <w:cnfStyle w:val="001000000000" w:firstRow="0" w:lastRow="0" w:firstColumn="1" w:lastColumn="0" w:oddVBand="0" w:evenVBand="0" w:oddHBand="0" w:evenHBand="0" w:firstRowFirstColumn="0" w:firstRowLastColumn="0" w:lastRowFirstColumn="0" w:lastRowLastColumn="0"/>
            <w:tcW w:w="6753" w:type="dxa"/>
          </w:tcPr>
          <w:p w14:paraId="044C1DEB" w14:textId="77777777" w:rsidR="00684AF2" w:rsidRPr="00B4357F" w:rsidRDefault="00684AF2" w:rsidP="00B4357F">
            <w:pPr>
              <w:keepNext/>
              <w:ind w:right="432"/>
              <w:rPr>
                <w:b w:val="0"/>
              </w:rPr>
            </w:pPr>
            <w:r w:rsidRPr="00B4357F">
              <w:rPr>
                <w:b w:val="0"/>
              </w:rPr>
              <w:t>Local Government</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7724774A" w14:textId="77777777" w:rsidR="00684AF2" w:rsidRPr="00C0352B" w:rsidRDefault="003C64D8" w:rsidP="00FF312A">
            <w:pPr>
              <w:keepNext/>
              <w:jc w:val="right"/>
            </w:pPr>
            <w:r>
              <w:t>2,695,789</w:t>
            </w:r>
          </w:p>
        </w:tc>
        <w:tc>
          <w:tcPr>
            <w:tcW w:w="2546" w:type="dxa"/>
            <w:shd w:val="clear" w:color="auto" w:fill="FFFFFF" w:themeFill="background1"/>
            <w:vAlign w:val="center"/>
          </w:tcPr>
          <w:p w14:paraId="4D01578E" w14:textId="77777777" w:rsidR="00684AF2" w:rsidRPr="00C0352B" w:rsidRDefault="003C64D8" w:rsidP="00FF312A">
            <w:pPr>
              <w:keepNext/>
              <w:jc w:val="right"/>
              <w:cnfStyle w:val="000000000000" w:firstRow="0" w:lastRow="0" w:firstColumn="0" w:lastColumn="0" w:oddVBand="0" w:evenVBand="0" w:oddHBand="0" w:evenHBand="0" w:firstRowFirstColumn="0" w:firstRowLastColumn="0" w:lastRowFirstColumn="0" w:lastRowLastColumn="0"/>
            </w:pPr>
            <w:r>
              <w:t>2,921,691</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4788BE39" w14:textId="77777777" w:rsidR="00684AF2" w:rsidRPr="00C0352B" w:rsidRDefault="002109B7" w:rsidP="00FF312A">
            <w:pPr>
              <w:keepNext/>
              <w:jc w:val="right"/>
              <w:rPr>
                <w:b w:val="0"/>
              </w:rPr>
            </w:pPr>
            <w:r>
              <w:rPr>
                <w:b w:val="0"/>
              </w:rPr>
              <w:t>1,841,466</w:t>
            </w:r>
          </w:p>
        </w:tc>
      </w:tr>
      <w:tr w:rsidR="00684AF2" w14:paraId="0E00E9C5" w14:textId="77777777" w:rsidTr="000D1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tcPr>
          <w:p w14:paraId="0039E4D6" w14:textId="77777777" w:rsidR="00684AF2" w:rsidRPr="00B4357F" w:rsidRDefault="00684AF2" w:rsidP="00B4357F">
            <w:pPr>
              <w:keepNext/>
              <w:ind w:right="432"/>
              <w:rPr>
                <w:b w:val="0"/>
              </w:rPr>
            </w:pPr>
            <w:r w:rsidRPr="00B4357F">
              <w:rPr>
                <w:b w:val="0"/>
              </w:rPr>
              <w:t>Private Funds</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480C9698" w14:textId="77777777" w:rsidR="00684AF2" w:rsidRPr="00C0352B" w:rsidRDefault="003C64D8" w:rsidP="00FF312A">
            <w:pPr>
              <w:keepNext/>
              <w:jc w:val="right"/>
            </w:pPr>
            <w:r>
              <w:t>3,248,522</w:t>
            </w:r>
          </w:p>
        </w:tc>
        <w:tc>
          <w:tcPr>
            <w:tcW w:w="2546" w:type="dxa"/>
            <w:shd w:val="clear" w:color="auto" w:fill="FFFFFF" w:themeFill="background1"/>
            <w:vAlign w:val="center"/>
          </w:tcPr>
          <w:p w14:paraId="25FA2F8C" w14:textId="77777777" w:rsidR="00684AF2" w:rsidRPr="00C0352B" w:rsidRDefault="003C64D8" w:rsidP="00FF312A">
            <w:pPr>
              <w:keepNext/>
              <w:jc w:val="right"/>
              <w:cnfStyle w:val="000000100000" w:firstRow="0" w:lastRow="0" w:firstColumn="0" w:lastColumn="0" w:oddVBand="0" w:evenVBand="0" w:oddHBand="1" w:evenHBand="0" w:firstRowFirstColumn="0" w:firstRowLastColumn="0" w:lastRowFirstColumn="0" w:lastRowLastColumn="0"/>
            </w:pPr>
            <w:r>
              <w:t>3,997,721</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09FEC60F" w14:textId="77777777" w:rsidR="00684AF2" w:rsidRPr="00C0352B" w:rsidRDefault="002109B7" w:rsidP="00FF312A">
            <w:pPr>
              <w:keepNext/>
              <w:jc w:val="right"/>
              <w:rPr>
                <w:b w:val="0"/>
              </w:rPr>
            </w:pPr>
            <w:r>
              <w:rPr>
                <w:b w:val="0"/>
              </w:rPr>
              <w:t>4,136,808</w:t>
            </w:r>
          </w:p>
        </w:tc>
      </w:tr>
      <w:tr w:rsidR="00684AF2" w14:paraId="6693135F" w14:textId="77777777" w:rsidTr="000D17E9">
        <w:tc>
          <w:tcPr>
            <w:cnfStyle w:val="001000000000" w:firstRow="0" w:lastRow="0" w:firstColumn="1" w:lastColumn="0" w:oddVBand="0" w:evenVBand="0" w:oddHBand="0" w:evenHBand="0" w:firstRowFirstColumn="0" w:firstRowLastColumn="0" w:lastRowFirstColumn="0" w:lastRowLastColumn="0"/>
            <w:tcW w:w="6753" w:type="dxa"/>
          </w:tcPr>
          <w:p w14:paraId="5414E682" w14:textId="77777777" w:rsidR="00684AF2" w:rsidRPr="00B4357F" w:rsidRDefault="00684AF2" w:rsidP="00B4357F">
            <w:pPr>
              <w:keepNext/>
              <w:ind w:right="432"/>
              <w:rPr>
                <w:b w:val="0"/>
              </w:rPr>
            </w:pPr>
            <w:r w:rsidRPr="00B4357F">
              <w:rPr>
                <w:b w:val="0"/>
              </w:rPr>
              <w:t>Other</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40DBEF0E" w14:textId="77777777" w:rsidR="00684AF2" w:rsidRPr="00C0352B" w:rsidRDefault="003C64D8" w:rsidP="00FF312A">
            <w:pPr>
              <w:keepNext/>
              <w:jc w:val="right"/>
            </w:pPr>
            <w:r>
              <w:t>3,430,313</w:t>
            </w:r>
          </w:p>
        </w:tc>
        <w:tc>
          <w:tcPr>
            <w:tcW w:w="2546" w:type="dxa"/>
            <w:shd w:val="clear" w:color="auto" w:fill="FFFFFF" w:themeFill="background1"/>
            <w:vAlign w:val="center"/>
          </w:tcPr>
          <w:p w14:paraId="506EC028" w14:textId="77777777" w:rsidR="00684AF2" w:rsidRPr="00C0352B" w:rsidRDefault="003C64D8" w:rsidP="00FF312A">
            <w:pPr>
              <w:keepNext/>
              <w:jc w:val="right"/>
              <w:cnfStyle w:val="000000000000" w:firstRow="0" w:lastRow="0" w:firstColumn="0" w:lastColumn="0" w:oddVBand="0" w:evenVBand="0" w:oddHBand="0" w:evenHBand="0" w:firstRowFirstColumn="0" w:firstRowLastColumn="0" w:lastRowFirstColumn="0" w:lastRowLastColumn="0"/>
            </w:pPr>
            <w:r>
              <w:t>2,742,538</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43CE90BA" w14:textId="77777777" w:rsidR="00684AF2" w:rsidRPr="00C0352B" w:rsidRDefault="002109B7" w:rsidP="00FF312A">
            <w:pPr>
              <w:keepNext/>
              <w:jc w:val="right"/>
              <w:rPr>
                <w:b w:val="0"/>
              </w:rPr>
            </w:pPr>
            <w:r>
              <w:rPr>
                <w:b w:val="0"/>
              </w:rPr>
              <w:t>1,130,158</w:t>
            </w:r>
          </w:p>
        </w:tc>
      </w:tr>
      <w:tr w:rsidR="00684AF2" w14:paraId="79E389C4" w14:textId="77777777" w:rsidTr="000D1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tcPr>
          <w:p w14:paraId="335B219E" w14:textId="77777777" w:rsidR="00684AF2" w:rsidRPr="00B4357F" w:rsidRDefault="00684AF2" w:rsidP="00B4357F">
            <w:pPr>
              <w:keepNext/>
              <w:ind w:right="432"/>
              <w:rPr>
                <w:b w:val="0"/>
              </w:rPr>
            </w:pPr>
            <w:r w:rsidRPr="00B4357F">
              <w:rPr>
                <w:b w:val="0"/>
              </w:rPr>
              <w:t>Fees</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4A2578C6" w14:textId="77777777" w:rsidR="003C64D8" w:rsidRPr="00C0352B" w:rsidRDefault="003C64D8" w:rsidP="003C64D8">
            <w:pPr>
              <w:keepNext/>
              <w:jc w:val="right"/>
            </w:pPr>
            <w:r>
              <w:t>156,613</w:t>
            </w:r>
          </w:p>
        </w:tc>
        <w:tc>
          <w:tcPr>
            <w:tcW w:w="2546" w:type="dxa"/>
            <w:shd w:val="clear" w:color="auto" w:fill="FFFFFF" w:themeFill="background1"/>
            <w:vAlign w:val="center"/>
          </w:tcPr>
          <w:p w14:paraId="1A971D9F" w14:textId="77777777" w:rsidR="00684AF2" w:rsidRPr="00C0352B" w:rsidRDefault="003C64D8" w:rsidP="00FF312A">
            <w:pPr>
              <w:keepNext/>
              <w:jc w:val="right"/>
              <w:cnfStyle w:val="000000100000" w:firstRow="0" w:lastRow="0" w:firstColumn="0" w:lastColumn="0" w:oddVBand="0" w:evenVBand="0" w:oddHBand="1" w:evenHBand="0" w:firstRowFirstColumn="0" w:firstRowLastColumn="0" w:lastRowFirstColumn="0" w:lastRowLastColumn="0"/>
            </w:pPr>
            <w:r>
              <w:t>98,914</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32582080" w14:textId="77777777" w:rsidR="00684AF2" w:rsidRPr="00C0352B" w:rsidRDefault="002109B7" w:rsidP="00FF312A">
            <w:pPr>
              <w:keepNext/>
              <w:jc w:val="right"/>
              <w:rPr>
                <w:b w:val="0"/>
              </w:rPr>
            </w:pPr>
            <w:r>
              <w:rPr>
                <w:b w:val="0"/>
              </w:rPr>
              <w:t>5,044</w:t>
            </w:r>
          </w:p>
        </w:tc>
      </w:tr>
      <w:tr w:rsidR="00684AF2" w14:paraId="0A7EB021" w14:textId="77777777" w:rsidTr="000D17E9">
        <w:tc>
          <w:tcPr>
            <w:cnfStyle w:val="001000000000" w:firstRow="0" w:lastRow="0" w:firstColumn="1" w:lastColumn="0" w:oddVBand="0" w:evenVBand="0" w:oddHBand="0" w:evenHBand="0" w:firstRowFirstColumn="0" w:firstRowLastColumn="0" w:lastRowFirstColumn="0" w:lastRowLastColumn="0"/>
            <w:tcW w:w="6753" w:type="dxa"/>
          </w:tcPr>
          <w:p w14:paraId="2929180B" w14:textId="77777777" w:rsidR="00684AF2" w:rsidRPr="00B4357F" w:rsidRDefault="00684AF2" w:rsidP="00B4357F">
            <w:pPr>
              <w:keepNext/>
              <w:ind w:right="432"/>
              <w:rPr>
                <w:b w:val="0"/>
              </w:rPr>
            </w:pPr>
            <w:r w:rsidRPr="00B4357F">
              <w:rPr>
                <w:b w:val="0"/>
              </w:rPr>
              <w:t>Program Income</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288C30F2" w14:textId="77777777" w:rsidR="00684AF2" w:rsidRPr="00C0352B" w:rsidRDefault="003C64D8" w:rsidP="00FF312A">
            <w:pPr>
              <w:keepNext/>
              <w:jc w:val="right"/>
            </w:pPr>
            <w:r>
              <w:t>77,982</w:t>
            </w:r>
          </w:p>
        </w:tc>
        <w:tc>
          <w:tcPr>
            <w:tcW w:w="2546" w:type="dxa"/>
            <w:shd w:val="clear" w:color="auto" w:fill="FFFFFF" w:themeFill="background1"/>
            <w:vAlign w:val="center"/>
          </w:tcPr>
          <w:p w14:paraId="253E6A50" w14:textId="77777777" w:rsidR="00684AF2" w:rsidRPr="00C0352B" w:rsidRDefault="003C64D8" w:rsidP="00FF312A">
            <w:pPr>
              <w:keepNext/>
              <w:jc w:val="right"/>
              <w:cnfStyle w:val="000000000000" w:firstRow="0" w:lastRow="0" w:firstColumn="0" w:lastColumn="0" w:oddVBand="0" w:evenVBand="0" w:oddHBand="0" w:evenHBand="0" w:firstRowFirstColumn="0" w:firstRowLastColumn="0" w:lastRowFirstColumn="0" w:lastRowLastColumn="0"/>
            </w:pPr>
            <w:r>
              <w:t>33,024</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668153F4" w14:textId="77777777" w:rsidR="00684AF2" w:rsidRPr="00C0352B" w:rsidRDefault="002109B7" w:rsidP="00FF312A">
            <w:pPr>
              <w:keepNext/>
              <w:jc w:val="right"/>
              <w:rPr>
                <w:b w:val="0"/>
              </w:rPr>
            </w:pPr>
            <w:r>
              <w:rPr>
                <w:b w:val="0"/>
              </w:rPr>
              <w:t>5,444</w:t>
            </w:r>
          </w:p>
        </w:tc>
      </w:tr>
      <w:tr w:rsidR="00684AF2" w14:paraId="4F59DC9C" w14:textId="77777777" w:rsidTr="000D17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tcPr>
          <w:p w14:paraId="39379876" w14:textId="77777777" w:rsidR="00684AF2" w:rsidRPr="00B4357F" w:rsidRDefault="00684AF2" w:rsidP="00B4357F">
            <w:pPr>
              <w:keepNext/>
              <w:ind w:right="432"/>
              <w:rPr>
                <w:b w:val="0"/>
              </w:rPr>
            </w:pPr>
            <w:r w:rsidRPr="00B4357F">
              <w:rPr>
                <w:b w:val="0"/>
              </w:rPr>
              <w:t>Total Match Amount</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24E0C2BB" w14:textId="77777777" w:rsidR="00684AF2" w:rsidRPr="003C64D8" w:rsidRDefault="003C64D8" w:rsidP="00FF312A">
            <w:pPr>
              <w:keepNext/>
              <w:jc w:val="right"/>
            </w:pPr>
            <w:r w:rsidRPr="003C64D8">
              <w:t>13,468,107</w:t>
            </w:r>
          </w:p>
        </w:tc>
        <w:tc>
          <w:tcPr>
            <w:tcW w:w="2546" w:type="dxa"/>
            <w:shd w:val="clear" w:color="auto" w:fill="FFFFFF" w:themeFill="background1"/>
            <w:vAlign w:val="center"/>
          </w:tcPr>
          <w:p w14:paraId="5D9B4DEF" w14:textId="77777777" w:rsidR="00684AF2" w:rsidRPr="003C64D8" w:rsidRDefault="003C64D8" w:rsidP="00FF312A">
            <w:pPr>
              <w:keepNext/>
              <w:jc w:val="right"/>
              <w:cnfStyle w:val="010000000000" w:firstRow="0" w:lastRow="1" w:firstColumn="0" w:lastColumn="0" w:oddVBand="0" w:evenVBand="0" w:oddHBand="0" w:evenHBand="0" w:firstRowFirstColumn="0" w:firstRowLastColumn="0" w:lastRowFirstColumn="0" w:lastRowLastColumn="0"/>
            </w:pPr>
            <w:r w:rsidRPr="003C64D8">
              <w:t>14,061,099</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2A09A709" w14:textId="77777777" w:rsidR="00684AF2" w:rsidRPr="003C64D8" w:rsidRDefault="002109B7" w:rsidP="00FF312A">
            <w:pPr>
              <w:keepNext/>
              <w:jc w:val="right"/>
            </w:pPr>
            <w:r>
              <w:t>9,830,441</w:t>
            </w:r>
          </w:p>
        </w:tc>
      </w:tr>
    </w:tbl>
    <w:p w14:paraId="45712C6E" w14:textId="77777777" w:rsidR="00684AF2" w:rsidRPr="00B4357F" w:rsidRDefault="00684AF2" w:rsidP="00684AF2">
      <w:pPr>
        <w:pStyle w:val="Caption"/>
        <w:jc w:val="center"/>
        <w:rPr>
          <w:rFonts w:ascii="Arial" w:hAnsi="Arial" w:cs="Arial"/>
          <w:sz w:val="16"/>
        </w:rPr>
      </w:pPr>
      <w:r w:rsidRPr="00B4357F">
        <w:rPr>
          <w:rFonts w:ascii="Arial" w:hAnsi="Arial" w:cs="Arial"/>
          <w:sz w:val="16"/>
        </w:rPr>
        <w:t xml:space="preserve">Table </w:t>
      </w:r>
      <w:r w:rsidRPr="00B4357F">
        <w:rPr>
          <w:rFonts w:ascii="Arial" w:hAnsi="Arial" w:cs="Arial"/>
          <w:sz w:val="16"/>
        </w:rPr>
        <w:fldChar w:fldCharType="begin"/>
      </w:r>
      <w:r w:rsidRPr="00B4357F">
        <w:rPr>
          <w:rFonts w:ascii="Arial" w:hAnsi="Arial" w:cs="Arial"/>
          <w:sz w:val="16"/>
        </w:rPr>
        <w:instrText xml:space="preserve"> SEQ Table \* ARABIC </w:instrText>
      </w:r>
      <w:r w:rsidRPr="00B4357F">
        <w:rPr>
          <w:rFonts w:ascii="Arial" w:hAnsi="Arial" w:cs="Arial"/>
          <w:sz w:val="16"/>
        </w:rPr>
        <w:fldChar w:fldCharType="separate"/>
      </w:r>
      <w:r w:rsidR="00AA534C">
        <w:rPr>
          <w:rFonts w:ascii="Arial" w:hAnsi="Arial" w:cs="Arial"/>
          <w:noProof/>
          <w:sz w:val="16"/>
        </w:rPr>
        <w:t>25</w:t>
      </w:r>
      <w:r w:rsidRPr="00B4357F">
        <w:rPr>
          <w:rFonts w:ascii="Arial" w:hAnsi="Arial" w:cs="Arial"/>
          <w:sz w:val="16"/>
        </w:rPr>
        <w:fldChar w:fldCharType="end"/>
      </w:r>
      <w:r w:rsidRPr="00B4357F">
        <w:rPr>
          <w:rFonts w:ascii="Arial" w:hAnsi="Arial" w:cs="Arial"/>
          <w:sz w:val="16"/>
        </w:rPr>
        <w:t xml:space="preserve"> - Other Funds Expended on Eligible ESG Activities</w:t>
      </w:r>
    </w:p>
    <w:p w14:paraId="21C2570C" w14:textId="77777777" w:rsidR="00684AF2" w:rsidRDefault="00684AF2" w:rsidP="00684AF2">
      <w:pPr>
        <w:rPr>
          <w:b/>
          <w:szCs w:val="24"/>
        </w:rPr>
      </w:pPr>
    </w:p>
    <w:p w14:paraId="37922E18" w14:textId="77777777" w:rsidR="00684AF2" w:rsidRDefault="00684AF2" w:rsidP="00684AF2">
      <w:pPr>
        <w:rPr>
          <w:rFonts w:cs="Arial"/>
        </w:rPr>
      </w:pPr>
      <w:r>
        <w:rPr>
          <w:b/>
          <w:szCs w:val="24"/>
        </w:rPr>
        <w:t>11g. Total</w:t>
      </w:r>
    </w:p>
    <w:tbl>
      <w:tblPr>
        <w:tblStyle w:val="GridTable4-Accent3"/>
        <w:tblW w:w="4062" w:type="pct"/>
        <w:tblInd w:w="1345" w:type="dxa"/>
        <w:tblLayout w:type="fixed"/>
        <w:tblLook w:val="01E0" w:firstRow="1" w:lastRow="1" w:firstColumn="1" w:lastColumn="1" w:noHBand="0" w:noVBand="0"/>
      </w:tblPr>
      <w:tblGrid>
        <w:gridCol w:w="4053"/>
        <w:gridCol w:w="2545"/>
        <w:gridCol w:w="2546"/>
        <w:gridCol w:w="2546"/>
      </w:tblGrid>
      <w:tr w:rsidR="000D17E9" w14:paraId="39FDF3DC" w14:textId="77777777" w:rsidTr="001C1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3" w:type="dxa"/>
          </w:tcPr>
          <w:p w14:paraId="7DFF142C" w14:textId="77777777" w:rsidR="000D17E9" w:rsidRDefault="000D17E9" w:rsidP="000D17E9">
            <w:pPr>
              <w:keepNext/>
              <w:jc w:val="center"/>
            </w:pPr>
            <w:r>
              <w:t>Total Amount of Funds Expended on ESG Activities</w:t>
            </w:r>
          </w:p>
        </w:tc>
        <w:tc>
          <w:tcPr>
            <w:cnfStyle w:val="000010000000" w:firstRow="0" w:lastRow="0" w:firstColumn="0" w:lastColumn="0" w:oddVBand="1" w:evenVBand="0" w:oddHBand="0" w:evenHBand="0" w:firstRowFirstColumn="0" w:firstRowLastColumn="0" w:lastRowFirstColumn="0" w:lastRowLastColumn="0"/>
            <w:tcW w:w="2545" w:type="dxa"/>
            <w:tcBorders>
              <w:bottom w:val="single" w:sz="4" w:space="0" w:color="auto"/>
            </w:tcBorders>
            <w:shd w:val="clear" w:color="auto" w:fill="87A9CB" w:themeFill="accent3" w:themeFillTint="99"/>
          </w:tcPr>
          <w:p w14:paraId="3DB5EACC" w14:textId="77777777" w:rsidR="000D17E9" w:rsidRDefault="000D17E9" w:rsidP="000D17E9">
            <w:pPr>
              <w:keepNext/>
              <w:spacing w:beforeAutospacing="1" w:afterAutospacing="1"/>
              <w:jc w:val="center"/>
              <w:rPr>
                <w:b w:val="0"/>
              </w:rPr>
            </w:pPr>
            <w:r w:rsidRPr="00684AF2">
              <w:rPr>
                <w:b w:val="0"/>
              </w:rPr>
              <w:t>201</w:t>
            </w:r>
            <w:r>
              <w:rPr>
                <w:b w:val="0"/>
              </w:rPr>
              <w:t>4</w:t>
            </w:r>
          </w:p>
        </w:tc>
        <w:tc>
          <w:tcPr>
            <w:tcW w:w="2546" w:type="dxa"/>
            <w:tcBorders>
              <w:bottom w:val="single" w:sz="4" w:space="0" w:color="auto"/>
            </w:tcBorders>
            <w:shd w:val="clear" w:color="auto" w:fill="87A9CB" w:themeFill="accent3" w:themeFillTint="99"/>
          </w:tcPr>
          <w:p w14:paraId="06FD760B" w14:textId="77777777" w:rsidR="000D17E9" w:rsidRDefault="000D17E9" w:rsidP="000D17E9">
            <w:pPr>
              <w:keepNext/>
              <w:spacing w:beforeAutospacing="1" w:afterAutospacing="1"/>
              <w:jc w:val="center"/>
              <w:cnfStyle w:val="100000000000" w:firstRow="1" w:lastRow="0" w:firstColumn="0" w:lastColumn="0" w:oddVBand="0" w:evenVBand="0" w:oddHBand="0" w:evenHBand="0" w:firstRowFirstColumn="0" w:firstRowLastColumn="0" w:lastRowFirstColumn="0" w:lastRowLastColumn="0"/>
              <w:rPr>
                <w:b w:val="0"/>
              </w:rPr>
            </w:pPr>
            <w:r w:rsidRPr="00684AF2">
              <w:rPr>
                <w:b w:val="0"/>
              </w:rPr>
              <w:t>201</w:t>
            </w:r>
            <w:r>
              <w:rPr>
                <w:b w:val="0"/>
              </w:rPr>
              <w:t>5</w:t>
            </w:r>
          </w:p>
        </w:tc>
        <w:tc>
          <w:tcPr>
            <w:cnfStyle w:val="000100000000" w:firstRow="0" w:lastRow="0" w:firstColumn="0" w:lastColumn="1" w:oddVBand="0" w:evenVBand="0" w:oddHBand="0" w:evenHBand="0" w:firstRowFirstColumn="0" w:firstRowLastColumn="0" w:lastRowFirstColumn="0" w:lastRowLastColumn="0"/>
            <w:tcW w:w="2546" w:type="dxa"/>
            <w:tcBorders>
              <w:bottom w:val="single" w:sz="4" w:space="0" w:color="auto"/>
            </w:tcBorders>
            <w:shd w:val="clear" w:color="auto" w:fill="87A9CB" w:themeFill="accent3" w:themeFillTint="99"/>
          </w:tcPr>
          <w:p w14:paraId="44A646FB" w14:textId="77777777" w:rsidR="000D17E9" w:rsidRDefault="000D17E9" w:rsidP="000D17E9">
            <w:pPr>
              <w:keepNext/>
              <w:spacing w:beforeAutospacing="1" w:afterAutospacing="1"/>
              <w:jc w:val="center"/>
              <w:rPr>
                <w:b w:val="0"/>
              </w:rPr>
            </w:pPr>
            <w:r w:rsidRPr="00684AF2">
              <w:t>201</w:t>
            </w:r>
            <w:r>
              <w:t>6</w:t>
            </w:r>
          </w:p>
        </w:tc>
      </w:tr>
      <w:tr w:rsidR="00684AF2" w:rsidRPr="00C0352B" w14:paraId="30C5231C" w14:textId="77777777" w:rsidTr="00FF31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3" w:type="dxa"/>
          </w:tcPr>
          <w:p w14:paraId="5E810F3E" w14:textId="77777777" w:rsidR="00684AF2" w:rsidRPr="00121015" w:rsidRDefault="00121015" w:rsidP="00B4357F">
            <w:pPr>
              <w:keepNext/>
              <w:ind w:right="432"/>
              <w:jc w:val="center"/>
            </w:pPr>
            <w:r>
              <w:t>36,153,769</w:t>
            </w:r>
          </w:p>
        </w:tc>
        <w:tc>
          <w:tcPr>
            <w:cnfStyle w:val="000010000000" w:firstRow="0" w:lastRow="0" w:firstColumn="0" w:lastColumn="0" w:oddVBand="1" w:evenVBand="0" w:oddHBand="0" w:evenHBand="0" w:firstRowFirstColumn="0" w:firstRowLastColumn="0" w:lastRowFirstColumn="0" w:lastRowLastColumn="0"/>
            <w:tcW w:w="2545" w:type="dxa"/>
            <w:shd w:val="clear" w:color="auto" w:fill="FFFFFF" w:themeFill="background1"/>
            <w:vAlign w:val="center"/>
          </w:tcPr>
          <w:p w14:paraId="1832B2F0" w14:textId="77777777" w:rsidR="00684AF2" w:rsidRPr="00C0352B" w:rsidRDefault="003C64D8" w:rsidP="00FF312A">
            <w:pPr>
              <w:keepNext/>
              <w:jc w:val="right"/>
              <w:rPr>
                <w:b w:val="0"/>
              </w:rPr>
            </w:pPr>
            <w:r>
              <w:rPr>
                <w:b w:val="0"/>
              </w:rPr>
              <w:t>21,596,087</w:t>
            </w:r>
          </w:p>
        </w:tc>
        <w:tc>
          <w:tcPr>
            <w:tcW w:w="2546" w:type="dxa"/>
            <w:shd w:val="clear" w:color="auto" w:fill="FFFFFF" w:themeFill="background1"/>
            <w:vAlign w:val="center"/>
          </w:tcPr>
          <w:p w14:paraId="6C076CDD" w14:textId="77777777" w:rsidR="00684AF2" w:rsidRPr="00C0352B" w:rsidRDefault="003C64D8" w:rsidP="00FF312A">
            <w:pPr>
              <w:keepNext/>
              <w:jc w:val="right"/>
              <w:cnfStyle w:val="010000000000" w:firstRow="0" w:lastRow="1" w:firstColumn="0" w:lastColumn="0" w:oddVBand="0" w:evenVBand="0" w:oddHBand="0" w:evenHBand="0" w:firstRowFirstColumn="0" w:firstRowLastColumn="0" w:lastRowFirstColumn="0" w:lastRowLastColumn="0"/>
              <w:rPr>
                <w:b w:val="0"/>
              </w:rPr>
            </w:pPr>
            <w:r>
              <w:rPr>
                <w:b w:val="0"/>
              </w:rPr>
              <w:t>22,277,953</w:t>
            </w:r>
          </w:p>
        </w:tc>
        <w:tc>
          <w:tcPr>
            <w:cnfStyle w:val="000100000000" w:firstRow="0" w:lastRow="0" w:firstColumn="0" w:lastColumn="1" w:oddVBand="0" w:evenVBand="0" w:oddHBand="0" w:evenHBand="0" w:firstRowFirstColumn="0" w:firstRowLastColumn="0" w:lastRowFirstColumn="0" w:lastRowLastColumn="0"/>
            <w:tcW w:w="2546" w:type="dxa"/>
            <w:shd w:val="clear" w:color="auto" w:fill="FFFFFF" w:themeFill="background1"/>
            <w:vAlign w:val="center"/>
          </w:tcPr>
          <w:p w14:paraId="73E845A8" w14:textId="77777777" w:rsidR="00684AF2" w:rsidRPr="00C0352B" w:rsidRDefault="00121015" w:rsidP="00FF312A">
            <w:pPr>
              <w:keepNext/>
              <w:jc w:val="right"/>
              <w:rPr>
                <w:b w:val="0"/>
              </w:rPr>
            </w:pPr>
            <w:r>
              <w:rPr>
                <w:b w:val="0"/>
              </w:rPr>
              <w:t>14,557,682</w:t>
            </w:r>
          </w:p>
        </w:tc>
      </w:tr>
    </w:tbl>
    <w:p w14:paraId="15E0C45D" w14:textId="77777777" w:rsidR="00684AF2" w:rsidRPr="00C0352B" w:rsidRDefault="00684AF2" w:rsidP="00684AF2">
      <w:pPr>
        <w:pStyle w:val="Caption"/>
        <w:jc w:val="center"/>
        <w:rPr>
          <w:rFonts w:ascii="Arial" w:hAnsi="Arial" w:cs="Arial"/>
          <w:b w:val="0"/>
          <w:sz w:val="16"/>
        </w:rPr>
      </w:pPr>
      <w:r w:rsidRPr="00C0352B">
        <w:rPr>
          <w:rFonts w:ascii="Arial" w:hAnsi="Arial" w:cs="Arial"/>
          <w:b w:val="0"/>
          <w:sz w:val="16"/>
        </w:rPr>
        <w:t xml:space="preserve">Table </w:t>
      </w:r>
      <w:r w:rsidRPr="00C0352B">
        <w:rPr>
          <w:rFonts w:ascii="Arial" w:hAnsi="Arial" w:cs="Arial"/>
          <w:b w:val="0"/>
          <w:sz w:val="16"/>
        </w:rPr>
        <w:fldChar w:fldCharType="begin"/>
      </w:r>
      <w:r w:rsidRPr="00C0352B">
        <w:rPr>
          <w:rFonts w:ascii="Arial" w:hAnsi="Arial" w:cs="Arial"/>
          <w:b w:val="0"/>
          <w:sz w:val="16"/>
        </w:rPr>
        <w:instrText xml:space="preserve"> SEQ Table \* ARABIC </w:instrText>
      </w:r>
      <w:r w:rsidRPr="00C0352B">
        <w:rPr>
          <w:rFonts w:ascii="Arial" w:hAnsi="Arial" w:cs="Arial"/>
          <w:b w:val="0"/>
          <w:sz w:val="16"/>
        </w:rPr>
        <w:fldChar w:fldCharType="separate"/>
      </w:r>
      <w:r w:rsidR="00AA534C">
        <w:rPr>
          <w:rFonts w:ascii="Arial" w:hAnsi="Arial" w:cs="Arial"/>
          <w:b w:val="0"/>
          <w:noProof/>
          <w:sz w:val="16"/>
        </w:rPr>
        <w:t>26</w:t>
      </w:r>
      <w:r w:rsidRPr="00C0352B">
        <w:rPr>
          <w:rFonts w:ascii="Arial" w:hAnsi="Arial" w:cs="Arial"/>
          <w:b w:val="0"/>
          <w:sz w:val="16"/>
        </w:rPr>
        <w:fldChar w:fldCharType="end"/>
      </w:r>
      <w:r w:rsidRPr="00C0352B">
        <w:rPr>
          <w:rFonts w:ascii="Arial" w:hAnsi="Arial" w:cs="Arial"/>
          <w:b w:val="0"/>
          <w:sz w:val="16"/>
        </w:rPr>
        <w:t xml:space="preserve"> - Total Amount of Funds Expended on ESG Activities</w:t>
      </w:r>
    </w:p>
    <w:p w14:paraId="6AD9D96E" w14:textId="77777777" w:rsidR="00684AF2" w:rsidRDefault="00684AF2" w:rsidP="00684AF2"/>
    <w:p w14:paraId="42775343" w14:textId="33B6D5E2" w:rsidR="00684AF2" w:rsidRDefault="00684AF2" w:rsidP="00684AF2"/>
    <w:sectPr w:rsidR="00684AF2" w:rsidSect="00074E8F">
      <w:headerReference w:type="even" r:id="rId43"/>
      <w:headerReference w:type="default" r:id="rId44"/>
      <w:footerReference w:type="default" r:id="rId45"/>
      <w:headerReference w:type="first" r:id="rId46"/>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DD112" w14:textId="77777777" w:rsidR="00441836" w:rsidRDefault="00441836" w:rsidP="006150E1">
      <w:pPr>
        <w:spacing w:after="0" w:line="240" w:lineRule="auto"/>
      </w:pPr>
      <w:r>
        <w:separator/>
      </w:r>
    </w:p>
  </w:endnote>
  <w:endnote w:type="continuationSeparator" w:id="0">
    <w:p w14:paraId="6A7A380E" w14:textId="77777777" w:rsidR="00441836" w:rsidRDefault="00441836" w:rsidP="0061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544496494"/>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14:paraId="28DD5609" w14:textId="2B85E9F7" w:rsidR="00865FE2" w:rsidRPr="006150E1" w:rsidRDefault="00865FE2">
            <w:pPr>
              <w:pStyle w:val="Footer"/>
              <w:jc w:val="right"/>
              <w:rPr>
                <w:sz w:val="22"/>
              </w:rPr>
            </w:pPr>
            <w:r w:rsidRPr="006150E1">
              <w:rPr>
                <w:sz w:val="22"/>
              </w:rPr>
              <w:t xml:space="preserve">Page </w:t>
            </w:r>
            <w:r w:rsidRPr="006150E1">
              <w:rPr>
                <w:b/>
                <w:bCs/>
                <w:sz w:val="22"/>
                <w:szCs w:val="24"/>
              </w:rPr>
              <w:fldChar w:fldCharType="begin"/>
            </w:r>
            <w:r w:rsidRPr="006150E1">
              <w:rPr>
                <w:b/>
                <w:bCs/>
                <w:sz w:val="22"/>
              </w:rPr>
              <w:instrText xml:space="preserve"> PAGE </w:instrText>
            </w:r>
            <w:r w:rsidRPr="006150E1">
              <w:rPr>
                <w:b/>
                <w:bCs/>
                <w:sz w:val="22"/>
                <w:szCs w:val="24"/>
              </w:rPr>
              <w:fldChar w:fldCharType="separate"/>
            </w:r>
            <w:r w:rsidR="00002BCB">
              <w:rPr>
                <w:b/>
                <w:bCs/>
                <w:noProof/>
                <w:sz w:val="22"/>
              </w:rPr>
              <w:t>31</w:t>
            </w:r>
            <w:r w:rsidRPr="006150E1">
              <w:rPr>
                <w:b/>
                <w:bCs/>
                <w:sz w:val="22"/>
                <w:szCs w:val="24"/>
              </w:rPr>
              <w:fldChar w:fldCharType="end"/>
            </w:r>
            <w:r w:rsidRPr="006150E1">
              <w:rPr>
                <w:sz w:val="22"/>
              </w:rPr>
              <w:t xml:space="preserve"> of </w:t>
            </w:r>
            <w:r w:rsidRPr="006150E1">
              <w:rPr>
                <w:b/>
                <w:bCs/>
                <w:sz w:val="22"/>
                <w:szCs w:val="24"/>
              </w:rPr>
              <w:fldChar w:fldCharType="begin"/>
            </w:r>
            <w:r w:rsidRPr="006150E1">
              <w:rPr>
                <w:b/>
                <w:bCs/>
                <w:sz w:val="22"/>
              </w:rPr>
              <w:instrText xml:space="preserve"> NUMPAGES  </w:instrText>
            </w:r>
            <w:r w:rsidRPr="006150E1">
              <w:rPr>
                <w:b/>
                <w:bCs/>
                <w:sz w:val="22"/>
                <w:szCs w:val="24"/>
              </w:rPr>
              <w:fldChar w:fldCharType="separate"/>
            </w:r>
            <w:r w:rsidR="00002BCB">
              <w:rPr>
                <w:b/>
                <w:bCs/>
                <w:noProof/>
                <w:sz w:val="22"/>
              </w:rPr>
              <w:t>56</w:t>
            </w:r>
            <w:r w:rsidRPr="006150E1">
              <w:rPr>
                <w:b/>
                <w:bCs/>
                <w:sz w:val="22"/>
                <w:szCs w:val="24"/>
              </w:rPr>
              <w:fldChar w:fldCharType="end"/>
            </w:r>
          </w:p>
        </w:sdtContent>
      </w:sdt>
    </w:sdtContent>
  </w:sdt>
  <w:p w14:paraId="4E3A55AF" w14:textId="77777777" w:rsidR="00865FE2" w:rsidRDefault="00865FE2">
    <w:pPr>
      <w:pStyle w:val="Footer"/>
      <w:rPr>
        <w:sz w:val="20"/>
      </w:rPr>
    </w:pPr>
    <w:r>
      <w:rPr>
        <w:sz w:val="20"/>
      </w:rPr>
      <w:t xml:space="preserve">California Department of Housing and Community Development DRAFT </w:t>
    </w:r>
    <w:r w:rsidRPr="00BA1F82">
      <w:rPr>
        <w:sz w:val="20"/>
      </w:rPr>
      <w:t xml:space="preserve">FY 2016-17 CAPER </w:t>
    </w:r>
  </w:p>
  <w:p w14:paraId="2EF6002E" w14:textId="77777777" w:rsidR="00865FE2" w:rsidRPr="00ED318C" w:rsidRDefault="00865FE2">
    <w:pPr>
      <w:pStyle w:val="Footer"/>
      <w:rPr>
        <w:color w:val="0000FF"/>
        <w:sz w:val="16"/>
      </w:rPr>
    </w:pPr>
    <w:r>
      <w:rPr>
        <w:sz w:val="16"/>
      </w:rPr>
      <w:t>OMB Control No. 2506-0117 (exp. 06/30/2018)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CD88" w14:textId="77777777" w:rsidR="00441836" w:rsidRDefault="00441836" w:rsidP="006150E1">
      <w:pPr>
        <w:spacing w:after="0" w:line="240" w:lineRule="auto"/>
      </w:pPr>
      <w:r>
        <w:separator/>
      </w:r>
    </w:p>
  </w:footnote>
  <w:footnote w:type="continuationSeparator" w:id="0">
    <w:p w14:paraId="364A2A20" w14:textId="77777777" w:rsidR="00441836" w:rsidRDefault="00441836" w:rsidP="00615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D23" w14:textId="77777777" w:rsidR="00865FE2" w:rsidRDefault="00441836">
    <w:pPr>
      <w:pStyle w:val="Header"/>
    </w:pPr>
    <w:r>
      <w:rPr>
        <w:noProof/>
      </w:rPr>
      <w:pict w14:anchorId="67501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88966" o:spid="_x0000_s2051" type="#_x0000_t136" style="position:absolute;margin-left:0;margin-top:0;width:692.15pt;height:69.2pt;rotation:315;z-index:-251655168;mso-position-horizontal:center;mso-position-horizontal-relative:margin;mso-position-vertical:center;mso-position-vertical-relative:margin" o:allowincell="f" fillcolor="silver" stroked="f">
          <v:fill opacity=".5"/>
          <v:textpath style="font-family:&quot;Arial&quot;;font-size:1pt" string="DRAFT CAPER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5888" w14:textId="26D13119" w:rsidR="00865FE2" w:rsidRPr="00270322" w:rsidRDefault="00441836">
    <w:pPr>
      <w:pStyle w:val="Header"/>
      <w:rPr>
        <w:b/>
        <w:color w:val="808080" w:themeColor="background1" w:themeShade="80"/>
      </w:rPr>
    </w:pPr>
    <w:r>
      <w:rPr>
        <w:b/>
        <w:noProof/>
        <w:color w:val="009900"/>
      </w:rPr>
      <w:pict w14:anchorId="0739D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88967" o:spid="_x0000_s2052" type="#_x0000_t136" style="position:absolute;margin-left:0;margin-top:0;width:692.15pt;height:69.2pt;rotation:315;z-index:-251653120;mso-position-horizontal:center;mso-position-horizontal-relative:margin;mso-position-vertical:center;mso-position-vertical-relative:margin" o:allowincell="f" fillcolor="silver" stroked="f">
          <v:fill opacity=".5"/>
          <v:textpath style="font-family:&quot;Arial&quot;;font-size:1pt" string="DRAFT CAPER Template"/>
          <w10:wrap anchorx="margin" anchory="margin"/>
        </v:shape>
      </w:pict>
    </w:r>
    <w:r w:rsidR="00865FE2" w:rsidRPr="00270322">
      <w:rPr>
        <w:b/>
        <w:color w:val="808080" w:themeColor="background1" w:themeShade="80"/>
      </w:rPr>
      <w:tab/>
    </w:r>
    <w:r w:rsidR="00865FE2" w:rsidRPr="00270322">
      <w:rPr>
        <w:b/>
        <w:color w:val="808080" w:themeColor="background1" w:themeShade="80"/>
      </w:rPr>
      <w:tab/>
    </w:r>
    <w:r w:rsidR="00865FE2" w:rsidRPr="00270322">
      <w:rPr>
        <w:b/>
        <w:color w:val="808080" w:themeColor="background1" w:themeShade="80"/>
      </w:rPr>
      <w:tab/>
    </w:r>
    <w:r w:rsidR="00865FE2" w:rsidRPr="00270322">
      <w:rPr>
        <w:b/>
        <w:color w:val="808080" w:themeColor="background1" w:themeShade="80"/>
      </w:rPr>
      <w:tab/>
    </w:r>
    <w:r w:rsidR="00865FE2" w:rsidRPr="00270322">
      <w:rPr>
        <w:b/>
        <w:color w:val="808080" w:themeColor="background1" w:themeShade="80"/>
      </w:rPr>
      <w:tab/>
    </w:r>
  </w:p>
  <w:p w14:paraId="0BB547EE" w14:textId="77777777" w:rsidR="00865FE2" w:rsidRDefault="00865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A6EF" w14:textId="77777777" w:rsidR="00865FE2" w:rsidRDefault="00441836">
    <w:pPr>
      <w:pStyle w:val="Header"/>
    </w:pPr>
    <w:r>
      <w:rPr>
        <w:noProof/>
      </w:rPr>
      <w:pict w14:anchorId="5226F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88965" o:spid="_x0000_s2050" type="#_x0000_t136" style="position:absolute;margin-left:0;margin-top:0;width:692.15pt;height:69.2pt;rotation:315;z-index:-251657216;mso-position-horizontal:center;mso-position-horizontal-relative:margin;mso-position-vertical:center;mso-position-vertical-relative:margin" o:allowincell="f" fillcolor="silver" stroked="f">
          <v:fill opacity=".5"/>
          <v:textpath style="font-family:&quot;Arial&quot;;font-size:1pt" string="DRAFT CAPER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36D"/>
      </v:shape>
    </w:pict>
  </w:numPicBullet>
  <w:abstractNum w:abstractNumId="0" w15:restartNumberingAfterBreak="0">
    <w:nsid w:val="08025521"/>
    <w:multiLevelType w:val="hybridMultilevel"/>
    <w:tmpl w:val="9A902B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52E03"/>
    <w:multiLevelType w:val="hybridMultilevel"/>
    <w:tmpl w:val="B8D420E0"/>
    <w:lvl w:ilvl="0" w:tplc="A9CC6C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0642B"/>
    <w:multiLevelType w:val="hybridMultilevel"/>
    <w:tmpl w:val="209A2C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928BC"/>
    <w:multiLevelType w:val="hybridMultilevel"/>
    <w:tmpl w:val="E84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74753"/>
    <w:multiLevelType w:val="hybridMultilevel"/>
    <w:tmpl w:val="139C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C750E"/>
    <w:multiLevelType w:val="hybridMultilevel"/>
    <w:tmpl w:val="B2B8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B5BDF"/>
    <w:multiLevelType w:val="hybridMultilevel"/>
    <w:tmpl w:val="090A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D007C"/>
    <w:multiLevelType w:val="hybridMultilevel"/>
    <w:tmpl w:val="3B1879AC"/>
    <w:lvl w:ilvl="0" w:tplc="72D27A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A6D24"/>
    <w:multiLevelType w:val="hybridMultilevel"/>
    <w:tmpl w:val="A63C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A0D61"/>
    <w:multiLevelType w:val="hybridMultilevel"/>
    <w:tmpl w:val="090A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F3570"/>
    <w:multiLevelType w:val="hybridMultilevel"/>
    <w:tmpl w:val="66BCB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F1EBB"/>
    <w:multiLevelType w:val="hybridMultilevel"/>
    <w:tmpl w:val="4E3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70155"/>
    <w:multiLevelType w:val="hybridMultilevel"/>
    <w:tmpl w:val="894CC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978C5"/>
    <w:multiLevelType w:val="hybridMultilevel"/>
    <w:tmpl w:val="DABCE98A"/>
    <w:lvl w:ilvl="0" w:tplc="E026AF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7679E"/>
    <w:multiLevelType w:val="hybridMultilevel"/>
    <w:tmpl w:val="C80CF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C01A8A"/>
    <w:multiLevelType w:val="hybridMultilevel"/>
    <w:tmpl w:val="930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36024"/>
    <w:multiLevelType w:val="hybridMultilevel"/>
    <w:tmpl w:val="02B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11181"/>
    <w:multiLevelType w:val="hybridMultilevel"/>
    <w:tmpl w:val="AEB62648"/>
    <w:lvl w:ilvl="0" w:tplc="F31AE7C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E0162B"/>
    <w:multiLevelType w:val="hybridMultilevel"/>
    <w:tmpl w:val="EA0C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13"/>
  </w:num>
  <w:num w:numId="5">
    <w:abstractNumId w:val="11"/>
  </w:num>
  <w:num w:numId="6">
    <w:abstractNumId w:val="8"/>
  </w:num>
  <w:num w:numId="7">
    <w:abstractNumId w:val="5"/>
  </w:num>
  <w:num w:numId="8">
    <w:abstractNumId w:val="1"/>
  </w:num>
  <w:num w:numId="9">
    <w:abstractNumId w:val="14"/>
  </w:num>
  <w:num w:numId="10">
    <w:abstractNumId w:val="16"/>
  </w:num>
  <w:num w:numId="11">
    <w:abstractNumId w:val="17"/>
  </w:num>
  <w:num w:numId="12">
    <w:abstractNumId w:val="0"/>
  </w:num>
  <w:num w:numId="13">
    <w:abstractNumId w:val="7"/>
  </w:num>
  <w:num w:numId="14">
    <w:abstractNumId w:val="3"/>
  </w:num>
  <w:num w:numId="15">
    <w:abstractNumId w:val="4"/>
  </w:num>
  <w:num w:numId="16">
    <w:abstractNumId w:val="2"/>
  </w:num>
  <w:num w:numId="17">
    <w:abstractNumId w:val="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formatting="1"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23"/>
    <w:rsid w:val="00002BCB"/>
    <w:rsid w:val="00005F31"/>
    <w:rsid w:val="00006E6E"/>
    <w:rsid w:val="000101BD"/>
    <w:rsid w:val="00011D83"/>
    <w:rsid w:val="00012CDA"/>
    <w:rsid w:val="00021D4B"/>
    <w:rsid w:val="000251C6"/>
    <w:rsid w:val="000305D4"/>
    <w:rsid w:val="00033DA1"/>
    <w:rsid w:val="00035083"/>
    <w:rsid w:val="000437F5"/>
    <w:rsid w:val="000506E3"/>
    <w:rsid w:val="00053A82"/>
    <w:rsid w:val="00060190"/>
    <w:rsid w:val="00060F22"/>
    <w:rsid w:val="00061356"/>
    <w:rsid w:val="000624FE"/>
    <w:rsid w:val="000700E1"/>
    <w:rsid w:val="000741B9"/>
    <w:rsid w:val="00074C30"/>
    <w:rsid w:val="00074E8F"/>
    <w:rsid w:val="00076816"/>
    <w:rsid w:val="00083531"/>
    <w:rsid w:val="00087BA0"/>
    <w:rsid w:val="0009662D"/>
    <w:rsid w:val="00097EEE"/>
    <w:rsid w:val="000B0C8C"/>
    <w:rsid w:val="000B34A8"/>
    <w:rsid w:val="000D17E9"/>
    <w:rsid w:val="000D5A13"/>
    <w:rsid w:val="000D77AA"/>
    <w:rsid w:val="000E148C"/>
    <w:rsid w:val="000E20F9"/>
    <w:rsid w:val="000E5007"/>
    <w:rsid w:val="000F1E60"/>
    <w:rsid w:val="000F7762"/>
    <w:rsid w:val="001000E9"/>
    <w:rsid w:val="001019E2"/>
    <w:rsid w:val="001129D2"/>
    <w:rsid w:val="00121015"/>
    <w:rsid w:val="001219C1"/>
    <w:rsid w:val="0012420C"/>
    <w:rsid w:val="001320A3"/>
    <w:rsid w:val="0013236C"/>
    <w:rsid w:val="00143B2C"/>
    <w:rsid w:val="00161362"/>
    <w:rsid w:val="001636A0"/>
    <w:rsid w:val="001669D0"/>
    <w:rsid w:val="00171F22"/>
    <w:rsid w:val="00172ED7"/>
    <w:rsid w:val="00172F88"/>
    <w:rsid w:val="001778C2"/>
    <w:rsid w:val="001809E7"/>
    <w:rsid w:val="00186ABC"/>
    <w:rsid w:val="00190CB2"/>
    <w:rsid w:val="001A3F7E"/>
    <w:rsid w:val="001B6725"/>
    <w:rsid w:val="001C19FC"/>
    <w:rsid w:val="001C4CF2"/>
    <w:rsid w:val="001D1D94"/>
    <w:rsid w:val="001D536F"/>
    <w:rsid w:val="001D6CB5"/>
    <w:rsid w:val="001E761F"/>
    <w:rsid w:val="001F161B"/>
    <w:rsid w:val="001F2D57"/>
    <w:rsid w:val="002011A9"/>
    <w:rsid w:val="002109B7"/>
    <w:rsid w:val="00213D54"/>
    <w:rsid w:val="002213F1"/>
    <w:rsid w:val="0023612C"/>
    <w:rsid w:val="0024378B"/>
    <w:rsid w:val="00243D7F"/>
    <w:rsid w:val="00255C43"/>
    <w:rsid w:val="00262B8E"/>
    <w:rsid w:val="00270322"/>
    <w:rsid w:val="00273094"/>
    <w:rsid w:val="00273DC9"/>
    <w:rsid w:val="00274815"/>
    <w:rsid w:val="00280B7D"/>
    <w:rsid w:val="0028473C"/>
    <w:rsid w:val="00290103"/>
    <w:rsid w:val="00296F65"/>
    <w:rsid w:val="002B026F"/>
    <w:rsid w:val="002B730E"/>
    <w:rsid w:val="002C02D1"/>
    <w:rsid w:val="002C365A"/>
    <w:rsid w:val="002C6471"/>
    <w:rsid w:val="002C7DA3"/>
    <w:rsid w:val="002D097C"/>
    <w:rsid w:val="002D41E6"/>
    <w:rsid w:val="002E1E91"/>
    <w:rsid w:val="002E2C3F"/>
    <w:rsid w:val="002E4D24"/>
    <w:rsid w:val="0030034D"/>
    <w:rsid w:val="00310777"/>
    <w:rsid w:val="0031344F"/>
    <w:rsid w:val="00317400"/>
    <w:rsid w:val="00323062"/>
    <w:rsid w:val="00323E61"/>
    <w:rsid w:val="00323F2E"/>
    <w:rsid w:val="00326CCF"/>
    <w:rsid w:val="00333717"/>
    <w:rsid w:val="003348E6"/>
    <w:rsid w:val="003418FB"/>
    <w:rsid w:val="00344655"/>
    <w:rsid w:val="00360D54"/>
    <w:rsid w:val="0036275C"/>
    <w:rsid w:val="00362F74"/>
    <w:rsid w:val="003715E0"/>
    <w:rsid w:val="0037245B"/>
    <w:rsid w:val="00373CEA"/>
    <w:rsid w:val="00382628"/>
    <w:rsid w:val="00383B9F"/>
    <w:rsid w:val="00383D33"/>
    <w:rsid w:val="00384F83"/>
    <w:rsid w:val="00386355"/>
    <w:rsid w:val="00392CBB"/>
    <w:rsid w:val="003976E3"/>
    <w:rsid w:val="003A0D9A"/>
    <w:rsid w:val="003B09E9"/>
    <w:rsid w:val="003B34D4"/>
    <w:rsid w:val="003B6CAD"/>
    <w:rsid w:val="003C5366"/>
    <w:rsid w:val="003C62CC"/>
    <w:rsid w:val="003C64D8"/>
    <w:rsid w:val="003C72B5"/>
    <w:rsid w:val="003C7CC1"/>
    <w:rsid w:val="003D517D"/>
    <w:rsid w:val="003E28CB"/>
    <w:rsid w:val="003E5602"/>
    <w:rsid w:val="003E6342"/>
    <w:rsid w:val="003F303C"/>
    <w:rsid w:val="003F36FE"/>
    <w:rsid w:val="003F4CEB"/>
    <w:rsid w:val="004079ED"/>
    <w:rsid w:val="00407AEA"/>
    <w:rsid w:val="0041478C"/>
    <w:rsid w:val="00424D01"/>
    <w:rsid w:val="0043143B"/>
    <w:rsid w:val="00432E3E"/>
    <w:rsid w:val="0043366D"/>
    <w:rsid w:val="00440F08"/>
    <w:rsid w:val="00441836"/>
    <w:rsid w:val="00444036"/>
    <w:rsid w:val="00451E3D"/>
    <w:rsid w:val="00457913"/>
    <w:rsid w:val="00467332"/>
    <w:rsid w:val="00473271"/>
    <w:rsid w:val="00480327"/>
    <w:rsid w:val="004905D3"/>
    <w:rsid w:val="0049250E"/>
    <w:rsid w:val="00496B8C"/>
    <w:rsid w:val="004A1711"/>
    <w:rsid w:val="004A6E23"/>
    <w:rsid w:val="004A730F"/>
    <w:rsid w:val="004B2307"/>
    <w:rsid w:val="004B2A96"/>
    <w:rsid w:val="004B3E99"/>
    <w:rsid w:val="004B7DF0"/>
    <w:rsid w:val="004D2429"/>
    <w:rsid w:val="004D2AA5"/>
    <w:rsid w:val="004D659A"/>
    <w:rsid w:val="004E0727"/>
    <w:rsid w:val="004E3B02"/>
    <w:rsid w:val="0050368C"/>
    <w:rsid w:val="0050703B"/>
    <w:rsid w:val="00512852"/>
    <w:rsid w:val="005130D3"/>
    <w:rsid w:val="00515812"/>
    <w:rsid w:val="00517DB4"/>
    <w:rsid w:val="005251FF"/>
    <w:rsid w:val="00525BE0"/>
    <w:rsid w:val="0052616D"/>
    <w:rsid w:val="00542C87"/>
    <w:rsid w:val="00546FB8"/>
    <w:rsid w:val="00556F01"/>
    <w:rsid w:val="0056702A"/>
    <w:rsid w:val="005738BA"/>
    <w:rsid w:val="0057410C"/>
    <w:rsid w:val="00581216"/>
    <w:rsid w:val="00582FD7"/>
    <w:rsid w:val="00584316"/>
    <w:rsid w:val="005856D5"/>
    <w:rsid w:val="00592B04"/>
    <w:rsid w:val="005A7F6F"/>
    <w:rsid w:val="005B4F6D"/>
    <w:rsid w:val="005C3724"/>
    <w:rsid w:val="005C78DF"/>
    <w:rsid w:val="005D70CF"/>
    <w:rsid w:val="005E468E"/>
    <w:rsid w:val="005F04B7"/>
    <w:rsid w:val="005F652B"/>
    <w:rsid w:val="005F769F"/>
    <w:rsid w:val="0060232B"/>
    <w:rsid w:val="00604031"/>
    <w:rsid w:val="006150E1"/>
    <w:rsid w:val="0061724A"/>
    <w:rsid w:val="00625CE4"/>
    <w:rsid w:val="0063570A"/>
    <w:rsid w:val="0063792B"/>
    <w:rsid w:val="00650CE1"/>
    <w:rsid w:val="006515F8"/>
    <w:rsid w:val="00656C23"/>
    <w:rsid w:val="00661D05"/>
    <w:rsid w:val="006625CA"/>
    <w:rsid w:val="00662F14"/>
    <w:rsid w:val="00663735"/>
    <w:rsid w:val="0067259C"/>
    <w:rsid w:val="00680D31"/>
    <w:rsid w:val="00683C69"/>
    <w:rsid w:val="00683D7F"/>
    <w:rsid w:val="00684AF2"/>
    <w:rsid w:val="006A352E"/>
    <w:rsid w:val="006C0DE4"/>
    <w:rsid w:val="006C3A93"/>
    <w:rsid w:val="006D76C1"/>
    <w:rsid w:val="006E0477"/>
    <w:rsid w:val="006E350A"/>
    <w:rsid w:val="006E5410"/>
    <w:rsid w:val="006E65EA"/>
    <w:rsid w:val="006F171D"/>
    <w:rsid w:val="006F4BC7"/>
    <w:rsid w:val="00703944"/>
    <w:rsid w:val="0073033E"/>
    <w:rsid w:val="00732DEA"/>
    <w:rsid w:val="00734AB0"/>
    <w:rsid w:val="00736535"/>
    <w:rsid w:val="00742F3C"/>
    <w:rsid w:val="007541C3"/>
    <w:rsid w:val="0075612F"/>
    <w:rsid w:val="007574B5"/>
    <w:rsid w:val="007577C9"/>
    <w:rsid w:val="00757E30"/>
    <w:rsid w:val="00760B47"/>
    <w:rsid w:val="00767EDE"/>
    <w:rsid w:val="007721A7"/>
    <w:rsid w:val="00773447"/>
    <w:rsid w:val="00776FF0"/>
    <w:rsid w:val="00781061"/>
    <w:rsid w:val="007A20F7"/>
    <w:rsid w:val="007A2E3F"/>
    <w:rsid w:val="007B4668"/>
    <w:rsid w:val="007C7704"/>
    <w:rsid w:val="007D43FB"/>
    <w:rsid w:val="007E1101"/>
    <w:rsid w:val="007E2A2B"/>
    <w:rsid w:val="007E6D2A"/>
    <w:rsid w:val="007E7F5F"/>
    <w:rsid w:val="007F0E95"/>
    <w:rsid w:val="007F1E8C"/>
    <w:rsid w:val="00802696"/>
    <w:rsid w:val="0080307A"/>
    <w:rsid w:val="008050EB"/>
    <w:rsid w:val="00817628"/>
    <w:rsid w:val="0082212D"/>
    <w:rsid w:val="008514BD"/>
    <w:rsid w:val="00864699"/>
    <w:rsid w:val="008648BA"/>
    <w:rsid w:val="00865FE2"/>
    <w:rsid w:val="0086728C"/>
    <w:rsid w:val="008734C1"/>
    <w:rsid w:val="00877468"/>
    <w:rsid w:val="008824D2"/>
    <w:rsid w:val="0088277E"/>
    <w:rsid w:val="0089054F"/>
    <w:rsid w:val="00895F06"/>
    <w:rsid w:val="008A7C09"/>
    <w:rsid w:val="008B15DA"/>
    <w:rsid w:val="008B4DF9"/>
    <w:rsid w:val="008C0553"/>
    <w:rsid w:val="008C5148"/>
    <w:rsid w:val="008C51C2"/>
    <w:rsid w:val="008F6AF0"/>
    <w:rsid w:val="00902980"/>
    <w:rsid w:val="00906566"/>
    <w:rsid w:val="009068E3"/>
    <w:rsid w:val="00910ACB"/>
    <w:rsid w:val="00913F7D"/>
    <w:rsid w:val="009157BA"/>
    <w:rsid w:val="00915D8D"/>
    <w:rsid w:val="0091692E"/>
    <w:rsid w:val="00925690"/>
    <w:rsid w:val="0093172C"/>
    <w:rsid w:val="009318F6"/>
    <w:rsid w:val="00931ECF"/>
    <w:rsid w:val="00935B13"/>
    <w:rsid w:val="00936F6D"/>
    <w:rsid w:val="009407B8"/>
    <w:rsid w:val="00941A01"/>
    <w:rsid w:val="00960DB0"/>
    <w:rsid w:val="00961D36"/>
    <w:rsid w:val="00966A65"/>
    <w:rsid w:val="00992846"/>
    <w:rsid w:val="009B5D49"/>
    <w:rsid w:val="009D1EE5"/>
    <w:rsid w:val="009E5F8C"/>
    <w:rsid w:val="00A23B4D"/>
    <w:rsid w:val="00A26EB5"/>
    <w:rsid w:val="00A3111D"/>
    <w:rsid w:val="00A363A2"/>
    <w:rsid w:val="00A423FF"/>
    <w:rsid w:val="00A466B5"/>
    <w:rsid w:val="00A5142A"/>
    <w:rsid w:val="00A5371C"/>
    <w:rsid w:val="00A5597E"/>
    <w:rsid w:val="00A56148"/>
    <w:rsid w:val="00A56FE3"/>
    <w:rsid w:val="00A619DA"/>
    <w:rsid w:val="00A62C57"/>
    <w:rsid w:val="00A63E14"/>
    <w:rsid w:val="00A65AC0"/>
    <w:rsid w:val="00A674A8"/>
    <w:rsid w:val="00A74C36"/>
    <w:rsid w:val="00A7543B"/>
    <w:rsid w:val="00A75B72"/>
    <w:rsid w:val="00A837A2"/>
    <w:rsid w:val="00A87ACC"/>
    <w:rsid w:val="00A87C2F"/>
    <w:rsid w:val="00A9123A"/>
    <w:rsid w:val="00A95E46"/>
    <w:rsid w:val="00AA1819"/>
    <w:rsid w:val="00AA2DE6"/>
    <w:rsid w:val="00AA534C"/>
    <w:rsid w:val="00AB4ECC"/>
    <w:rsid w:val="00AC1311"/>
    <w:rsid w:val="00AC15E7"/>
    <w:rsid w:val="00AC20F5"/>
    <w:rsid w:val="00AC5558"/>
    <w:rsid w:val="00AC720F"/>
    <w:rsid w:val="00AD5C45"/>
    <w:rsid w:val="00AE04E3"/>
    <w:rsid w:val="00AE2A1A"/>
    <w:rsid w:val="00AE4377"/>
    <w:rsid w:val="00AE58A9"/>
    <w:rsid w:val="00AE79C4"/>
    <w:rsid w:val="00AF1D89"/>
    <w:rsid w:val="00AF3C76"/>
    <w:rsid w:val="00B00FF5"/>
    <w:rsid w:val="00B03984"/>
    <w:rsid w:val="00B16717"/>
    <w:rsid w:val="00B16FB6"/>
    <w:rsid w:val="00B21C0F"/>
    <w:rsid w:val="00B23AD3"/>
    <w:rsid w:val="00B3547A"/>
    <w:rsid w:val="00B4326D"/>
    <w:rsid w:val="00B4357F"/>
    <w:rsid w:val="00B55D59"/>
    <w:rsid w:val="00B637C3"/>
    <w:rsid w:val="00B77170"/>
    <w:rsid w:val="00B800AA"/>
    <w:rsid w:val="00B80948"/>
    <w:rsid w:val="00B812CA"/>
    <w:rsid w:val="00B86A2F"/>
    <w:rsid w:val="00B973E5"/>
    <w:rsid w:val="00BA0FD8"/>
    <w:rsid w:val="00BA1F82"/>
    <w:rsid w:val="00BA64FF"/>
    <w:rsid w:val="00BB4FC1"/>
    <w:rsid w:val="00BB61EF"/>
    <w:rsid w:val="00BB6378"/>
    <w:rsid w:val="00BC2AD9"/>
    <w:rsid w:val="00BC7F5F"/>
    <w:rsid w:val="00BD5816"/>
    <w:rsid w:val="00BE0281"/>
    <w:rsid w:val="00BE0740"/>
    <w:rsid w:val="00BE5F38"/>
    <w:rsid w:val="00BE7890"/>
    <w:rsid w:val="00BF043E"/>
    <w:rsid w:val="00BF1369"/>
    <w:rsid w:val="00BF3A9C"/>
    <w:rsid w:val="00BF741A"/>
    <w:rsid w:val="00C0352B"/>
    <w:rsid w:val="00C16875"/>
    <w:rsid w:val="00C21CF8"/>
    <w:rsid w:val="00C22636"/>
    <w:rsid w:val="00C303FD"/>
    <w:rsid w:val="00C3427B"/>
    <w:rsid w:val="00C423BD"/>
    <w:rsid w:val="00C50093"/>
    <w:rsid w:val="00C7010D"/>
    <w:rsid w:val="00C7078E"/>
    <w:rsid w:val="00C70BD8"/>
    <w:rsid w:val="00C766C8"/>
    <w:rsid w:val="00C80C1C"/>
    <w:rsid w:val="00C80D55"/>
    <w:rsid w:val="00C8768B"/>
    <w:rsid w:val="00C92DD6"/>
    <w:rsid w:val="00C92F7C"/>
    <w:rsid w:val="00CA70DA"/>
    <w:rsid w:val="00CB24D0"/>
    <w:rsid w:val="00CB5162"/>
    <w:rsid w:val="00CB679B"/>
    <w:rsid w:val="00CC0660"/>
    <w:rsid w:val="00CD4A2F"/>
    <w:rsid w:val="00CF1266"/>
    <w:rsid w:val="00CF3B1E"/>
    <w:rsid w:val="00CF4C1F"/>
    <w:rsid w:val="00CF5CBE"/>
    <w:rsid w:val="00D07D8D"/>
    <w:rsid w:val="00D13805"/>
    <w:rsid w:val="00D206FE"/>
    <w:rsid w:val="00D30FB2"/>
    <w:rsid w:val="00D3577E"/>
    <w:rsid w:val="00D36E84"/>
    <w:rsid w:val="00D53273"/>
    <w:rsid w:val="00D641FF"/>
    <w:rsid w:val="00D84F8F"/>
    <w:rsid w:val="00D87B64"/>
    <w:rsid w:val="00D919D5"/>
    <w:rsid w:val="00D961C6"/>
    <w:rsid w:val="00DB0D71"/>
    <w:rsid w:val="00DB10E9"/>
    <w:rsid w:val="00DB3E1E"/>
    <w:rsid w:val="00DB46AC"/>
    <w:rsid w:val="00DB7A32"/>
    <w:rsid w:val="00DB7D3C"/>
    <w:rsid w:val="00DC0B82"/>
    <w:rsid w:val="00DC3673"/>
    <w:rsid w:val="00DC6A84"/>
    <w:rsid w:val="00DD59A7"/>
    <w:rsid w:val="00DE7258"/>
    <w:rsid w:val="00DF3678"/>
    <w:rsid w:val="00DF6F3D"/>
    <w:rsid w:val="00E00641"/>
    <w:rsid w:val="00E0077F"/>
    <w:rsid w:val="00E05EA6"/>
    <w:rsid w:val="00E17F11"/>
    <w:rsid w:val="00E2325C"/>
    <w:rsid w:val="00E245AB"/>
    <w:rsid w:val="00E250BC"/>
    <w:rsid w:val="00E46A0A"/>
    <w:rsid w:val="00E6099E"/>
    <w:rsid w:val="00E61C68"/>
    <w:rsid w:val="00E62C48"/>
    <w:rsid w:val="00E63A49"/>
    <w:rsid w:val="00E66078"/>
    <w:rsid w:val="00E6636F"/>
    <w:rsid w:val="00E722BD"/>
    <w:rsid w:val="00E92FA3"/>
    <w:rsid w:val="00E96366"/>
    <w:rsid w:val="00E9662D"/>
    <w:rsid w:val="00EA070F"/>
    <w:rsid w:val="00EA1611"/>
    <w:rsid w:val="00EA2059"/>
    <w:rsid w:val="00EA430C"/>
    <w:rsid w:val="00EB13C5"/>
    <w:rsid w:val="00EB3DB0"/>
    <w:rsid w:val="00EB4939"/>
    <w:rsid w:val="00EC2693"/>
    <w:rsid w:val="00ED318C"/>
    <w:rsid w:val="00ED3A07"/>
    <w:rsid w:val="00ED5898"/>
    <w:rsid w:val="00EE6A58"/>
    <w:rsid w:val="00EF5FA1"/>
    <w:rsid w:val="00EF793F"/>
    <w:rsid w:val="00F01AF2"/>
    <w:rsid w:val="00F03B8C"/>
    <w:rsid w:val="00F04661"/>
    <w:rsid w:val="00F065AF"/>
    <w:rsid w:val="00F12DDA"/>
    <w:rsid w:val="00F25652"/>
    <w:rsid w:val="00F35221"/>
    <w:rsid w:val="00F37096"/>
    <w:rsid w:val="00F40D97"/>
    <w:rsid w:val="00F42C8A"/>
    <w:rsid w:val="00F438FF"/>
    <w:rsid w:val="00F44D19"/>
    <w:rsid w:val="00F54841"/>
    <w:rsid w:val="00F54925"/>
    <w:rsid w:val="00F64F77"/>
    <w:rsid w:val="00F67358"/>
    <w:rsid w:val="00F7252C"/>
    <w:rsid w:val="00F81C86"/>
    <w:rsid w:val="00F96ADC"/>
    <w:rsid w:val="00F97EB5"/>
    <w:rsid w:val="00FA5711"/>
    <w:rsid w:val="00FA5833"/>
    <w:rsid w:val="00FB0A42"/>
    <w:rsid w:val="00FD6B34"/>
    <w:rsid w:val="00FE0C11"/>
    <w:rsid w:val="00FE6E8C"/>
    <w:rsid w:val="00FF312A"/>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A19C60"/>
  <w15:chartTrackingRefBased/>
  <w15:docId w15:val="{D5877FEF-E8C6-4FBC-9A42-2FD08400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2C6471"/>
    <w:pPr>
      <w:keepNext/>
      <w:spacing w:before="240" w:after="60" w:line="276" w:lineRule="auto"/>
      <w:outlineLvl w:val="1"/>
    </w:pPr>
    <w:rPr>
      <w:rFonts w:eastAsia="Calibri"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E23"/>
    <w:pPr>
      <w:spacing w:after="200" w:line="276" w:lineRule="auto"/>
    </w:pPr>
    <w:rPr>
      <w:rFonts w:ascii="Calibri" w:eastAsia="Times New Roman" w:hAnsi="Calibri" w:cs="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E6E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FE6E8C"/>
    <w:pPr>
      <w:spacing w:after="0" w:line="240" w:lineRule="auto"/>
    </w:pPr>
    <w:tblPr>
      <w:tblStyleRowBandSize w:val="1"/>
      <w:tblStyleColBandSize w:val="1"/>
      <w:tblBorders>
        <w:top w:val="single" w:sz="4" w:space="0" w:color="87A9CB" w:themeColor="accent3" w:themeTint="99"/>
        <w:left w:val="single" w:sz="4" w:space="0" w:color="87A9CB" w:themeColor="accent3" w:themeTint="99"/>
        <w:bottom w:val="single" w:sz="4" w:space="0" w:color="87A9CB" w:themeColor="accent3" w:themeTint="99"/>
        <w:right w:val="single" w:sz="4" w:space="0" w:color="87A9CB" w:themeColor="accent3" w:themeTint="99"/>
        <w:insideH w:val="single" w:sz="4" w:space="0" w:color="87A9CB" w:themeColor="accent3" w:themeTint="99"/>
        <w:insideV w:val="single" w:sz="4" w:space="0" w:color="87A9CB" w:themeColor="accent3" w:themeTint="99"/>
      </w:tblBorders>
    </w:tblPr>
    <w:tblStylePr w:type="firstRow">
      <w:rPr>
        <w:b/>
        <w:bCs/>
        <w:color w:val="FFFFFF" w:themeColor="background1"/>
      </w:rPr>
      <w:tblPr/>
      <w:tcPr>
        <w:tcBorders>
          <w:top w:val="single" w:sz="4" w:space="0" w:color="44709D" w:themeColor="accent3"/>
          <w:left w:val="single" w:sz="4" w:space="0" w:color="44709D" w:themeColor="accent3"/>
          <w:bottom w:val="single" w:sz="4" w:space="0" w:color="44709D" w:themeColor="accent3"/>
          <w:right w:val="single" w:sz="4" w:space="0" w:color="44709D" w:themeColor="accent3"/>
          <w:insideH w:val="nil"/>
          <w:insideV w:val="nil"/>
        </w:tcBorders>
        <w:shd w:val="clear" w:color="auto" w:fill="44709D" w:themeFill="accent3"/>
      </w:tcPr>
    </w:tblStylePr>
    <w:tblStylePr w:type="lastRow">
      <w:rPr>
        <w:b/>
        <w:bCs/>
      </w:rPr>
      <w:tblPr/>
      <w:tcPr>
        <w:tcBorders>
          <w:top w:val="double" w:sz="4" w:space="0" w:color="44709D"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paragraph" w:styleId="Caption">
    <w:name w:val="caption"/>
    <w:basedOn w:val="Normal"/>
    <w:next w:val="Normal"/>
    <w:uiPriority w:val="99"/>
    <w:qFormat/>
    <w:rsid w:val="00D961C6"/>
    <w:pPr>
      <w:spacing w:after="0" w:line="240" w:lineRule="auto"/>
    </w:pPr>
    <w:rPr>
      <w:rFonts w:ascii="Times New Roman" w:eastAsia="Calibri" w:hAnsi="Times New Roman" w:cs="Times New Roman"/>
      <w:b/>
      <w:bCs/>
      <w:sz w:val="20"/>
      <w:szCs w:val="20"/>
    </w:rPr>
  </w:style>
  <w:style w:type="table" w:styleId="ListTable4-Accent3">
    <w:name w:val="List Table 4 Accent 3"/>
    <w:basedOn w:val="TableNormal"/>
    <w:uiPriority w:val="49"/>
    <w:rsid w:val="00087BA0"/>
    <w:pPr>
      <w:spacing w:after="0" w:line="240" w:lineRule="auto"/>
    </w:pPr>
    <w:tblPr>
      <w:tblStyleRowBandSize w:val="1"/>
      <w:tblStyleColBandSize w:val="1"/>
      <w:tblBorders>
        <w:top w:val="single" w:sz="4" w:space="0" w:color="87A9CB" w:themeColor="accent3" w:themeTint="99"/>
        <w:left w:val="single" w:sz="4" w:space="0" w:color="87A9CB" w:themeColor="accent3" w:themeTint="99"/>
        <w:bottom w:val="single" w:sz="4" w:space="0" w:color="87A9CB" w:themeColor="accent3" w:themeTint="99"/>
        <w:right w:val="single" w:sz="4" w:space="0" w:color="87A9CB" w:themeColor="accent3" w:themeTint="99"/>
        <w:insideH w:val="single" w:sz="4" w:space="0" w:color="87A9CB" w:themeColor="accent3" w:themeTint="99"/>
      </w:tblBorders>
    </w:tblPr>
    <w:tblStylePr w:type="firstRow">
      <w:rPr>
        <w:b/>
        <w:bCs/>
        <w:color w:val="FFFFFF" w:themeColor="background1"/>
      </w:rPr>
      <w:tblPr/>
      <w:tcPr>
        <w:tcBorders>
          <w:top w:val="single" w:sz="4" w:space="0" w:color="44709D" w:themeColor="accent3"/>
          <w:left w:val="single" w:sz="4" w:space="0" w:color="44709D" w:themeColor="accent3"/>
          <w:bottom w:val="single" w:sz="4" w:space="0" w:color="44709D" w:themeColor="accent3"/>
          <w:right w:val="single" w:sz="4" w:space="0" w:color="44709D" w:themeColor="accent3"/>
          <w:insideH w:val="nil"/>
        </w:tcBorders>
        <w:shd w:val="clear" w:color="auto" w:fill="44709D" w:themeFill="accent3"/>
      </w:tcPr>
    </w:tblStylePr>
    <w:tblStylePr w:type="lastRow">
      <w:rPr>
        <w:b/>
        <w:bCs/>
      </w:rPr>
      <w:tblPr/>
      <w:tcPr>
        <w:tcBorders>
          <w:top w:val="double" w:sz="4" w:space="0" w:color="87A9CB"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paragraph" w:customStyle="1" w:styleId="Default">
    <w:name w:val="Default"/>
    <w:rsid w:val="001019E2"/>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unhideWhenUsed/>
    <w:rsid w:val="0061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0E1"/>
  </w:style>
  <w:style w:type="paragraph" w:styleId="Footer">
    <w:name w:val="footer"/>
    <w:basedOn w:val="Normal"/>
    <w:link w:val="FooterChar"/>
    <w:uiPriority w:val="99"/>
    <w:unhideWhenUsed/>
    <w:rsid w:val="00615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0E1"/>
  </w:style>
  <w:style w:type="paragraph" w:styleId="ListParagraph">
    <w:name w:val="List Paragraph"/>
    <w:basedOn w:val="Normal"/>
    <w:uiPriority w:val="34"/>
    <w:qFormat/>
    <w:rsid w:val="006150E1"/>
    <w:pPr>
      <w:ind w:left="720"/>
      <w:contextualSpacing/>
    </w:pPr>
  </w:style>
  <w:style w:type="paragraph" w:styleId="NoSpacing">
    <w:name w:val="No Spacing"/>
    <w:link w:val="NoSpacingChar"/>
    <w:uiPriority w:val="99"/>
    <w:qFormat/>
    <w:rsid w:val="005856D5"/>
    <w:pPr>
      <w:spacing w:after="0" w:line="240" w:lineRule="auto"/>
      <w:jc w:val="both"/>
    </w:pPr>
    <w:rPr>
      <w:rFonts w:ascii="Calibri" w:eastAsia="Calibri" w:hAnsi="Calibri" w:cs="Times New Roman"/>
      <w:sz w:val="22"/>
    </w:rPr>
  </w:style>
  <w:style w:type="character" w:customStyle="1" w:styleId="NoSpacingChar">
    <w:name w:val="No Spacing Char"/>
    <w:basedOn w:val="DefaultParagraphFont"/>
    <w:link w:val="NoSpacing"/>
    <w:uiPriority w:val="99"/>
    <w:locked/>
    <w:rsid w:val="005856D5"/>
    <w:rPr>
      <w:rFonts w:ascii="Calibri" w:eastAsia="Calibri" w:hAnsi="Calibri" w:cs="Times New Roman"/>
      <w:sz w:val="22"/>
    </w:rPr>
  </w:style>
  <w:style w:type="table" w:styleId="GridTable2-Accent3">
    <w:name w:val="Grid Table 2 Accent 3"/>
    <w:basedOn w:val="TableNormal"/>
    <w:uiPriority w:val="47"/>
    <w:rsid w:val="000305D4"/>
    <w:pPr>
      <w:spacing w:after="0" w:line="240" w:lineRule="auto"/>
    </w:pPr>
    <w:tblPr>
      <w:tblStyleRowBandSize w:val="1"/>
      <w:tblStyleColBandSize w:val="1"/>
      <w:tblBorders>
        <w:top w:val="single" w:sz="2" w:space="0" w:color="87A9CB" w:themeColor="accent3" w:themeTint="99"/>
        <w:bottom w:val="single" w:sz="2" w:space="0" w:color="87A9CB" w:themeColor="accent3" w:themeTint="99"/>
        <w:insideH w:val="single" w:sz="2" w:space="0" w:color="87A9CB" w:themeColor="accent3" w:themeTint="99"/>
        <w:insideV w:val="single" w:sz="2" w:space="0" w:color="87A9CB" w:themeColor="accent3" w:themeTint="99"/>
      </w:tblBorders>
    </w:tblPr>
    <w:tblStylePr w:type="firstRow">
      <w:rPr>
        <w:b/>
        <w:bCs/>
      </w:rPr>
      <w:tblPr/>
      <w:tcPr>
        <w:tcBorders>
          <w:top w:val="nil"/>
          <w:bottom w:val="single" w:sz="12" w:space="0" w:color="87A9CB" w:themeColor="accent3" w:themeTint="99"/>
          <w:insideH w:val="nil"/>
          <w:insideV w:val="nil"/>
        </w:tcBorders>
        <w:shd w:val="clear" w:color="auto" w:fill="FFFFFF" w:themeFill="background1"/>
      </w:tcPr>
    </w:tblStylePr>
    <w:tblStylePr w:type="lastRow">
      <w:rPr>
        <w:b/>
        <w:bCs/>
      </w:rPr>
      <w:tblPr/>
      <w:tcPr>
        <w:tcBorders>
          <w:top w:val="double" w:sz="2" w:space="0" w:color="87A9C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3">
    <w:name w:val="Grid Table 6 Colorful Accent 3"/>
    <w:basedOn w:val="TableNormal"/>
    <w:uiPriority w:val="51"/>
    <w:rsid w:val="000305D4"/>
    <w:pPr>
      <w:spacing w:after="0" w:line="240" w:lineRule="auto"/>
    </w:pPr>
    <w:rPr>
      <w:color w:val="335375" w:themeColor="accent3" w:themeShade="BF"/>
    </w:rPr>
    <w:tblPr>
      <w:tblStyleRowBandSize w:val="1"/>
      <w:tblStyleColBandSize w:val="1"/>
      <w:tblBorders>
        <w:top w:val="single" w:sz="4" w:space="0" w:color="87A9CB" w:themeColor="accent3" w:themeTint="99"/>
        <w:left w:val="single" w:sz="4" w:space="0" w:color="87A9CB" w:themeColor="accent3" w:themeTint="99"/>
        <w:bottom w:val="single" w:sz="4" w:space="0" w:color="87A9CB" w:themeColor="accent3" w:themeTint="99"/>
        <w:right w:val="single" w:sz="4" w:space="0" w:color="87A9CB" w:themeColor="accent3" w:themeTint="99"/>
        <w:insideH w:val="single" w:sz="4" w:space="0" w:color="87A9CB" w:themeColor="accent3" w:themeTint="99"/>
        <w:insideV w:val="single" w:sz="4" w:space="0" w:color="87A9CB" w:themeColor="accent3" w:themeTint="99"/>
      </w:tblBorders>
    </w:tblPr>
    <w:tblStylePr w:type="firstRow">
      <w:rPr>
        <w:b/>
        <w:bCs/>
      </w:rPr>
      <w:tblPr/>
      <w:tcPr>
        <w:tcBorders>
          <w:bottom w:val="single" w:sz="12" w:space="0" w:color="87A9CB" w:themeColor="accent3" w:themeTint="99"/>
        </w:tcBorders>
      </w:tcPr>
    </w:tblStylePr>
    <w:tblStylePr w:type="lastRow">
      <w:rPr>
        <w:b/>
        <w:bCs/>
      </w:rPr>
      <w:tblPr/>
      <w:tcPr>
        <w:tcBorders>
          <w:top w:val="double" w:sz="4" w:space="0" w:color="87A9CB"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paragraph" w:styleId="BalloonText">
    <w:name w:val="Balloon Text"/>
    <w:basedOn w:val="Normal"/>
    <w:link w:val="BalloonTextChar"/>
    <w:uiPriority w:val="99"/>
    <w:semiHidden/>
    <w:unhideWhenUsed/>
    <w:rsid w:val="00E96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66"/>
    <w:rPr>
      <w:rFonts w:ascii="Segoe UI" w:hAnsi="Segoe UI" w:cs="Segoe UI"/>
      <w:sz w:val="18"/>
      <w:szCs w:val="18"/>
    </w:rPr>
  </w:style>
  <w:style w:type="table" w:styleId="ListTable3-Accent3">
    <w:name w:val="List Table 3 Accent 3"/>
    <w:basedOn w:val="TableNormal"/>
    <w:uiPriority w:val="48"/>
    <w:rsid w:val="00684AF2"/>
    <w:pPr>
      <w:spacing w:after="0" w:line="240" w:lineRule="auto"/>
    </w:pPr>
    <w:tblPr>
      <w:tblStyleRowBandSize w:val="1"/>
      <w:tblStyleColBandSize w:val="1"/>
      <w:tblBorders>
        <w:top w:val="single" w:sz="4" w:space="0" w:color="44709D" w:themeColor="accent3"/>
        <w:left w:val="single" w:sz="4" w:space="0" w:color="44709D" w:themeColor="accent3"/>
        <w:bottom w:val="single" w:sz="4" w:space="0" w:color="44709D" w:themeColor="accent3"/>
        <w:right w:val="single" w:sz="4" w:space="0" w:color="44709D" w:themeColor="accent3"/>
      </w:tblBorders>
    </w:tblPr>
    <w:tblStylePr w:type="firstRow">
      <w:rPr>
        <w:b/>
        <w:bCs/>
        <w:color w:val="FFFFFF" w:themeColor="background1"/>
      </w:rPr>
      <w:tblPr/>
      <w:tcPr>
        <w:shd w:val="clear" w:color="auto" w:fill="44709D" w:themeFill="accent3"/>
      </w:tcPr>
    </w:tblStylePr>
    <w:tblStylePr w:type="lastRow">
      <w:rPr>
        <w:b/>
        <w:bCs/>
      </w:rPr>
      <w:tblPr/>
      <w:tcPr>
        <w:tcBorders>
          <w:top w:val="double" w:sz="4" w:space="0" w:color="4470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09D" w:themeColor="accent3"/>
          <w:right w:val="single" w:sz="4" w:space="0" w:color="44709D" w:themeColor="accent3"/>
        </w:tcBorders>
      </w:tcPr>
    </w:tblStylePr>
    <w:tblStylePr w:type="band1Horz">
      <w:tblPr/>
      <w:tcPr>
        <w:tcBorders>
          <w:top w:val="single" w:sz="4" w:space="0" w:color="44709D" w:themeColor="accent3"/>
          <w:bottom w:val="single" w:sz="4" w:space="0" w:color="4470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09D" w:themeColor="accent3"/>
          <w:left w:val="nil"/>
        </w:tcBorders>
      </w:tcPr>
    </w:tblStylePr>
    <w:tblStylePr w:type="swCell">
      <w:tblPr/>
      <w:tcPr>
        <w:tcBorders>
          <w:top w:val="double" w:sz="4" w:space="0" w:color="44709D" w:themeColor="accent3"/>
          <w:right w:val="nil"/>
        </w:tcBorders>
      </w:tcPr>
    </w:tblStylePr>
  </w:style>
  <w:style w:type="character" w:customStyle="1" w:styleId="Heading2Char">
    <w:name w:val="Heading 2 Char"/>
    <w:basedOn w:val="DefaultParagraphFont"/>
    <w:link w:val="Heading2"/>
    <w:uiPriority w:val="99"/>
    <w:rsid w:val="002C6471"/>
    <w:rPr>
      <w:rFonts w:eastAsia="Calibri" w:cs="Arial"/>
      <w:b/>
      <w:bCs/>
      <w:i/>
      <w:iCs/>
      <w:sz w:val="28"/>
      <w:szCs w:val="28"/>
    </w:rPr>
  </w:style>
  <w:style w:type="table" w:styleId="GridTable4-Accent4">
    <w:name w:val="Grid Table 4 Accent 4"/>
    <w:basedOn w:val="TableNormal"/>
    <w:uiPriority w:val="49"/>
    <w:rsid w:val="002C6471"/>
    <w:pPr>
      <w:spacing w:after="0" w:line="240" w:lineRule="auto"/>
    </w:pPr>
    <w:tblPr>
      <w:tblStyleRowBandSize w:val="1"/>
      <w:tblStyleColBandSize w:val="1"/>
      <w:tblBorders>
        <w:top w:val="single" w:sz="4" w:space="0" w:color="D47E77" w:themeColor="accent4" w:themeTint="99"/>
        <w:left w:val="single" w:sz="4" w:space="0" w:color="D47E77" w:themeColor="accent4" w:themeTint="99"/>
        <w:bottom w:val="single" w:sz="4" w:space="0" w:color="D47E77" w:themeColor="accent4" w:themeTint="99"/>
        <w:right w:val="single" w:sz="4" w:space="0" w:color="D47E77" w:themeColor="accent4" w:themeTint="99"/>
        <w:insideH w:val="single" w:sz="4" w:space="0" w:color="D47E77" w:themeColor="accent4" w:themeTint="99"/>
        <w:insideV w:val="single" w:sz="4" w:space="0" w:color="D47E77" w:themeColor="accent4" w:themeTint="99"/>
      </w:tblBorders>
    </w:tblPr>
    <w:tblStylePr w:type="firstRow">
      <w:rPr>
        <w:b/>
        <w:bCs/>
        <w:color w:val="FFFFFF" w:themeColor="background1"/>
      </w:rPr>
      <w:tblPr/>
      <w:tcPr>
        <w:tcBorders>
          <w:top w:val="single" w:sz="4" w:space="0" w:color="A23C33" w:themeColor="accent4"/>
          <w:left w:val="single" w:sz="4" w:space="0" w:color="A23C33" w:themeColor="accent4"/>
          <w:bottom w:val="single" w:sz="4" w:space="0" w:color="A23C33" w:themeColor="accent4"/>
          <w:right w:val="single" w:sz="4" w:space="0" w:color="A23C33" w:themeColor="accent4"/>
          <w:insideH w:val="nil"/>
          <w:insideV w:val="nil"/>
        </w:tcBorders>
        <w:shd w:val="clear" w:color="auto" w:fill="A23C33" w:themeFill="accent4"/>
      </w:tcPr>
    </w:tblStylePr>
    <w:tblStylePr w:type="lastRow">
      <w:rPr>
        <w:b/>
        <w:bCs/>
      </w:rPr>
      <w:tblPr/>
      <w:tcPr>
        <w:tcBorders>
          <w:top w:val="double" w:sz="4" w:space="0" w:color="A23C33" w:themeColor="accent4"/>
        </w:tcBorders>
      </w:tcPr>
    </w:tblStylePr>
    <w:tblStylePr w:type="firstCol">
      <w:rPr>
        <w:b/>
        <w:bCs/>
      </w:rPr>
    </w:tblStylePr>
    <w:tblStylePr w:type="lastCol">
      <w:rPr>
        <w:b/>
        <w:bCs/>
      </w:rPr>
    </w:tblStylePr>
    <w:tblStylePr w:type="band1Vert">
      <w:tblPr/>
      <w:tcPr>
        <w:shd w:val="clear" w:color="auto" w:fill="F0D3D1" w:themeFill="accent4" w:themeFillTint="33"/>
      </w:tcPr>
    </w:tblStylePr>
    <w:tblStylePr w:type="band1Horz">
      <w:tblPr/>
      <w:tcPr>
        <w:shd w:val="clear" w:color="auto" w:fill="F0D3D1" w:themeFill="accent4" w:themeFillTint="33"/>
      </w:tcPr>
    </w:tblStylePr>
  </w:style>
  <w:style w:type="table" w:styleId="ListTable1Light-Accent6">
    <w:name w:val="List Table 1 Light Accent 6"/>
    <w:basedOn w:val="TableNormal"/>
    <w:uiPriority w:val="46"/>
    <w:rsid w:val="0086728C"/>
    <w:pPr>
      <w:spacing w:after="0" w:line="240" w:lineRule="auto"/>
    </w:pPr>
    <w:tblPr>
      <w:tblStyleRowBandSize w:val="1"/>
      <w:tblStyleColBandSize w:val="1"/>
    </w:tblPr>
    <w:tblStylePr w:type="firstRow">
      <w:rPr>
        <w:b/>
        <w:bCs/>
      </w:rPr>
      <w:tblPr/>
      <w:tcPr>
        <w:tcBorders>
          <w:bottom w:val="single" w:sz="4" w:space="0" w:color="EBD18C" w:themeColor="accent6" w:themeTint="99"/>
        </w:tcBorders>
      </w:tcPr>
    </w:tblStylePr>
    <w:tblStylePr w:type="lastRow">
      <w:rPr>
        <w:b/>
        <w:bCs/>
      </w:rPr>
      <w:tblPr/>
      <w:tcPr>
        <w:tcBorders>
          <w:top w:val="single" w:sz="4" w:space="0" w:color="EBD18C" w:themeColor="accent6" w:themeTint="99"/>
        </w:tcBorders>
      </w:tcPr>
    </w:tblStylePr>
    <w:tblStylePr w:type="firstCol">
      <w:rPr>
        <w:b/>
        <w:bCs/>
      </w:rPr>
    </w:tblStylePr>
    <w:tblStylePr w:type="lastCol">
      <w:rPr>
        <w:b/>
        <w:bCs/>
      </w:rPr>
    </w:tblStylePr>
    <w:tblStylePr w:type="band1Vert">
      <w:tblPr/>
      <w:tcPr>
        <w:shd w:val="clear" w:color="auto" w:fill="F8EFD8" w:themeFill="accent6" w:themeFillTint="33"/>
      </w:tcPr>
    </w:tblStylePr>
    <w:tblStylePr w:type="band1Horz">
      <w:tblPr/>
      <w:tcPr>
        <w:shd w:val="clear" w:color="auto" w:fill="F8EFD8" w:themeFill="accent6" w:themeFillTint="33"/>
      </w:tcPr>
    </w:tblStylePr>
  </w:style>
  <w:style w:type="table" w:styleId="ListTable3-Accent4">
    <w:name w:val="List Table 3 Accent 4"/>
    <w:basedOn w:val="TableNormal"/>
    <w:uiPriority w:val="48"/>
    <w:rsid w:val="0086728C"/>
    <w:pPr>
      <w:spacing w:after="0" w:line="240" w:lineRule="auto"/>
    </w:pPr>
    <w:tblPr>
      <w:tblStyleRowBandSize w:val="1"/>
      <w:tblStyleColBandSize w:val="1"/>
      <w:tblBorders>
        <w:top w:val="single" w:sz="4" w:space="0" w:color="A23C33" w:themeColor="accent4"/>
        <w:left w:val="single" w:sz="4" w:space="0" w:color="A23C33" w:themeColor="accent4"/>
        <w:bottom w:val="single" w:sz="4" w:space="0" w:color="A23C33" w:themeColor="accent4"/>
        <w:right w:val="single" w:sz="4" w:space="0" w:color="A23C33" w:themeColor="accent4"/>
      </w:tblBorders>
    </w:tblPr>
    <w:tblStylePr w:type="firstRow">
      <w:rPr>
        <w:b/>
        <w:bCs/>
        <w:color w:val="FFFFFF" w:themeColor="background1"/>
      </w:rPr>
      <w:tblPr/>
      <w:tcPr>
        <w:shd w:val="clear" w:color="auto" w:fill="A23C33" w:themeFill="accent4"/>
      </w:tcPr>
    </w:tblStylePr>
    <w:tblStylePr w:type="lastRow">
      <w:rPr>
        <w:b/>
        <w:bCs/>
      </w:rPr>
      <w:tblPr/>
      <w:tcPr>
        <w:tcBorders>
          <w:top w:val="double" w:sz="4" w:space="0" w:color="A23C3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23C33" w:themeColor="accent4"/>
          <w:right w:val="single" w:sz="4" w:space="0" w:color="A23C33" w:themeColor="accent4"/>
        </w:tcBorders>
      </w:tcPr>
    </w:tblStylePr>
    <w:tblStylePr w:type="band1Horz">
      <w:tblPr/>
      <w:tcPr>
        <w:tcBorders>
          <w:top w:val="single" w:sz="4" w:space="0" w:color="A23C33" w:themeColor="accent4"/>
          <w:bottom w:val="single" w:sz="4" w:space="0" w:color="A23C3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23C33" w:themeColor="accent4"/>
          <w:left w:val="nil"/>
        </w:tcBorders>
      </w:tcPr>
    </w:tblStylePr>
    <w:tblStylePr w:type="swCell">
      <w:tblPr/>
      <w:tcPr>
        <w:tcBorders>
          <w:top w:val="double" w:sz="4" w:space="0" w:color="A23C33" w:themeColor="accent4"/>
          <w:right w:val="nil"/>
        </w:tcBorders>
      </w:tcPr>
    </w:tblStylePr>
  </w:style>
  <w:style w:type="table" w:styleId="GridTable6Colorful-Accent4">
    <w:name w:val="Grid Table 6 Colorful Accent 4"/>
    <w:basedOn w:val="TableNormal"/>
    <w:uiPriority w:val="51"/>
    <w:rsid w:val="0086728C"/>
    <w:pPr>
      <w:spacing w:after="0" w:line="240" w:lineRule="auto"/>
    </w:pPr>
    <w:rPr>
      <w:color w:val="792C26" w:themeColor="accent4" w:themeShade="BF"/>
    </w:rPr>
    <w:tblPr>
      <w:tblStyleRowBandSize w:val="1"/>
      <w:tblStyleColBandSize w:val="1"/>
      <w:tblBorders>
        <w:top w:val="single" w:sz="4" w:space="0" w:color="D47E77" w:themeColor="accent4" w:themeTint="99"/>
        <w:left w:val="single" w:sz="4" w:space="0" w:color="D47E77" w:themeColor="accent4" w:themeTint="99"/>
        <w:bottom w:val="single" w:sz="4" w:space="0" w:color="D47E77" w:themeColor="accent4" w:themeTint="99"/>
        <w:right w:val="single" w:sz="4" w:space="0" w:color="D47E77" w:themeColor="accent4" w:themeTint="99"/>
        <w:insideH w:val="single" w:sz="4" w:space="0" w:color="D47E77" w:themeColor="accent4" w:themeTint="99"/>
        <w:insideV w:val="single" w:sz="4" w:space="0" w:color="D47E77" w:themeColor="accent4" w:themeTint="99"/>
      </w:tblBorders>
    </w:tblPr>
    <w:tblStylePr w:type="firstRow">
      <w:rPr>
        <w:b/>
        <w:bCs/>
      </w:rPr>
      <w:tblPr/>
      <w:tcPr>
        <w:tcBorders>
          <w:bottom w:val="single" w:sz="12" w:space="0" w:color="D47E77" w:themeColor="accent4" w:themeTint="99"/>
        </w:tcBorders>
      </w:tcPr>
    </w:tblStylePr>
    <w:tblStylePr w:type="lastRow">
      <w:rPr>
        <w:b/>
        <w:bCs/>
      </w:rPr>
      <w:tblPr/>
      <w:tcPr>
        <w:tcBorders>
          <w:top w:val="double" w:sz="4" w:space="0" w:color="D47E77" w:themeColor="accent4" w:themeTint="99"/>
        </w:tcBorders>
      </w:tcPr>
    </w:tblStylePr>
    <w:tblStylePr w:type="firstCol">
      <w:rPr>
        <w:b/>
        <w:bCs/>
      </w:rPr>
    </w:tblStylePr>
    <w:tblStylePr w:type="lastCol">
      <w:rPr>
        <w:b/>
        <w:bCs/>
      </w:rPr>
    </w:tblStylePr>
    <w:tblStylePr w:type="band1Vert">
      <w:tblPr/>
      <w:tcPr>
        <w:shd w:val="clear" w:color="auto" w:fill="F0D3D1" w:themeFill="accent4" w:themeFillTint="33"/>
      </w:tcPr>
    </w:tblStylePr>
    <w:tblStylePr w:type="band1Horz">
      <w:tblPr/>
      <w:tcPr>
        <w:shd w:val="clear" w:color="auto" w:fill="F0D3D1" w:themeFill="accent4" w:themeFillTint="33"/>
      </w:tcPr>
    </w:tblStylePr>
  </w:style>
  <w:style w:type="table" w:styleId="GridTable4-Accent5">
    <w:name w:val="Grid Table 4 Accent 5"/>
    <w:basedOn w:val="TableNormal"/>
    <w:uiPriority w:val="49"/>
    <w:rsid w:val="0086728C"/>
    <w:pPr>
      <w:spacing w:after="0" w:line="240" w:lineRule="auto"/>
    </w:pPr>
    <w:tblPr>
      <w:tblStyleRowBandSize w:val="1"/>
      <w:tblStyleColBandSize w:val="1"/>
      <w:tblBorders>
        <w:top w:val="single" w:sz="4" w:space="0" w:color="E8AD7D" w:themeColor="accent5" w:themeTint="99"/>
        <w:left w:val="single" w:sz="4" w:space="0" w:color="E8AD7D" w:themeColor="accent5" w:themeTint="99"/>
        <w:bottom w:val="single" w:sz="4" w:space="0" w:color="E8AD7D" w:themeColor="accent5" w:themeTint="99"/>
        <w:right w:val="single" w:sz="4" w:space="0" w:color="E8AD7D" w:themeColor="accent5" w:themeTint="99"/>
        <w:insideH w:val="single" w:sz="4" w:space="0" w:color="E8AD7D" w:themeColor="accent5" w:themeTint="99"/>
        <w:insideV w:val="single" w:sz="4" w:space="0" w:color="E8AD7D" w:themeColor="accent5" w:themeTint="99"/>
      </w:tblBorders>
    </w:tblPr>
    <w:tblStylePr w:type="firstRow">
      <w:rPr>
        <w:b/>
        <w:bCs/>
        <w:color w:val="FFFFFF" w:themeColor="background1"/>
      </w:rPr>
      <w:tblPr/>
      <w:tcPr>
        <w:tcBorders>
          <w:top w:val="single" w:sz="4" w:space="0" w:color="D97828" w:themeColor="accent5"/>
          <w:left w:val="single" w:sz="4" w:space="0" w:color="D97828" w:themeColor="accent5"/>
          <w:bottom w:val="single" w:sz="4" w:space="0" w:color="D97828" w:themeColor="accent5"/>
          <w:right w:val="single" w:sz="4" w:space="0" w:color="D97828" w:themeColor="accent5"/>
          <w:insideH w:val="nil"/>
          <w:insideV w:val="nil"/>
        </w:tcBorders>
        <w:shd w:val="clear" w:color="auto" w:fill="D97828" w:themeFill="accent5"/>
      </w:tcPr>
    </w:tblStylePr>
    <w:tblStylePr w:type="lastRow">
      <w:rPr>
        <w:b/>
        <w:bCs/>
      </w:rPr>
      <w:tblPr/>
      <w:tcPr>
        <w:tcBorders>
          <w:top w:val="double" w:sz="4" w:space="0" w:color="D97828" w:themeColor="accent5"/>
        </w:tcBorders>
      </w:tcPr>
    </w:tblStylePr>
    <w:tblStylePr w:type="firstCol">
      <w:rPr>
        <w:b/>
        <w:bCs/>
      </w:rPr>
    </w:tblStylePr>
    <w:tblStylePr w:type="lastCol">
      <w:rPr>
        <w:b/>
        <w:bCs/>
      </w:rPr>
    </w:tblStylePr>
    <w:tblStylePr w:type="band1Vert">
      <w:tblPr/>
      <w:tcPr>
        <w:shd w:val="clear" w:color="auto" w:fill="F7E3D3" w:themeFill="accent5" w:themeFillTint="33"/>
      </w:tcPr>
    </w:tblStylePr>
    <w:tblStylePr w:type="band1Horz">
      <w:tblPr/>
      <w:tcPr>
        <w:shd w:val="clear" w:color="auto" w:fill="F7E3D3" w:themeFill="accent5" w:themeFillTint="33"/>
      </w:tcPr>
    </w:tblStylePr>
  </w:style>
  <w:style w:type="table" w:styleId="ListTable2-Accent4">
    <w:name w:val="List Table 2 Accent 4"/>
    <w:basedOn w:val="TableNormal"/>
    <w:uiPriority w:val="47"/>
    <w:rsid w:val="00E6636F"/>
    <w:pPr>
      <w:spacing w:after="0" w:line="240" w:lineRule="auto"/>
    </w:pPr>
    <w:tblPr>
      <w:tblStyleRowBandSize w:val="1"/>
      <w:tblStyleColBandSize w:val="1"/>
      <w:tblBorders>
        <w:top w:val="single" w:sz="4" w:space="0" w:color="D47E77" w:themeColor="accent4" w:themeTint="99"/>
        <w:bottom w:val="single" w:sz="4" w:space="0" w:color="D47E77" w:themeColor="accent4" w:themeTint="99"/>
        <w:insideH w:val="single" w:sz="4" w:space="0" w:color="D47E7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3D1" w:themeFill="accent4" w:themeFillTint="33"/>
      </w:tcPr>
    </w:tblStylePr>
    <w:tblStylePr w:type="band1Horz">
      <w:tblPr/>
      <w:tcPr>
        <w:shd w:val="clear" w:color="auto" w:fill="F0D3D1" w:themeFill="accent4" w:themeFillTint="33"/>
      </w:tcPr>
    </w:tblStylePr>
  </w:style>
  <w:style w:type="table" w:customStyle="1" w:styleId="GridTable6Colorful-Accent51">
    <w:name w:val="Grid Table 6 Colorful - Accent 51"/>
    <w:basedOn w:val="TableNormal"/>
    <w:next w:val="GridTable6Colorful-Accent5"/>
    <w:uiPriority w:val="51"/>
    <w:rsid w:val="00317400"/>
    <w:pPr>
      <w:spacing w:after="0" w:line="240" w:lineRule="auto"/>
    </w:pPr>
    <w:rPr>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styleId="GridTable6Colorful-Accent5">
    <w:name w:val="Grid Table 6 Colorful Accent 5"/>
    <w:basedOn w:val="TableNormal"/>
    <w:uiPriority w:val="51"/>
    <w:rsid w:val="00317400"/>
    <w:pPr>
      <w:spacing w:after="0" w:line="240" w:lineRule="auto"/>
    </w:pPr>
    <w:rPr>
      <w:color w:val="A3591D" w:themeColor="accent5" w:themeShade="BF"/>
    </w:rPr>
    <w:tblPr>
      <w:tblStyleRowBandSize w:val="1"/>
      <w:tblStyleColBandSize w:val="1"/>
      <w:tblBorders>
        <w:top w:val="single" w:sz="4" w:space="0" w:color="E8AD7D" w:themeColor="accent5" w:themeTint="99"/>
        <w:left w:val="single" w:sz="4" w:space="0" w:color="E8AD7D" w:themeColor="accent5" w:themeTint="99"/>
        <w:bottom w:val="single" w:sz="4" w:space="0" w:color="E8AD7D" w:themeColor="accent5" w:themeTint="99"/>
        <w:right w:val="single" w:sz="4" w:space="0" w:color="E8AD7D" w:themeColor="accent5" w:themeTint="99"/>
        <w:insideH w:val="single" w:sz="4" w:space="0" w:color="E8AD7D" w:themeColor="accent5" w:themeTint="99"/>
        <w:insideV w:val="single" w:sz="4" w:space="0" w:color="E8AD7D" w:themeColor="accent5" w:themeTint="99"/>
      </w:tblBorders>
    </w:tblPr>
    <w:tblStylePr w:type="firstRow">
      <w:rPr>
        <w:b/>
        <w:bCs/>
      </w:rPr>
      <w:tblPr/>
      <w:tcPr>
        <w:tcBorders>
          <w:bottom w:val="single" w:sz="12" w:space="0" w:color="E8AD7D" w:themeColor="accent5" w:themeTint="99"/>
        </w:tcBorders>
      </w:tcPr>
    </w:tblStylePr>
    <w:tblStylePr w:type="lastRow">
      <w:rPr>
        <w:b/>
        <w:bCs/>
      </w:rPr>
      <w:tblPr/>
      <w:tcPr>
        <w:tcBorders>
          <w:top w:val="double" w:sz="4" w:space="0" w:color="E8AD7D" w:themeColor="accent5" w:themeTint="99"/>
        </w:tcBorders>
      </w:tcPr>
    </w:tblStylePr>
    <w:tblStylePr w:type="firstCol">
      <w:rPr>
        <w:b/>
        <w:bCs/>
      </w:rPr>
    </w:tblStylePr>
    <w:tblStylePr w:type="lastCol">
      <w:rPr>
        <w:b/>
        <w:bCs/>
      </w:rPr>
    </w:tblStylePr>
    <w:tblStylePr w:type="band1Vert">
      <w:tblPr/>
      <w:tcPr>
        <w:shd w:val="clear" w:color="auto" w:fill="F7E3D3" w:themeFill="accent5" w:themeFillTint="33"/>
      </w:tcPr>
    </w:tblStylePr>
    <w:tblStylePr w:type="band1Horz">
      <w:tblPr/>
      <w:tcPr>
        <w:shd w:val="clear" w:color="auto" w:fill="F7E3D3" w:themeFill="accent5" w:themeFillTint="33"/>
      </w:tcPr>
    </w:tblStylePr>
  </w:style>
  <w:style w:type="character" w:styleId="Hyperlink">
    <w:name w:val="Hyperlink"/>
    <w:basedOn w:val="DefaultParagraphFont"/>
    <w:uiPriority w:val="99"/>
    <w:unhideWhenUsed/>
    <w:rsid w:val="003C5366"/>
    <w:rPr>
      <w:color w:val="A8BF4D" w:themeColor="hyperlink"/>
      <w:u w:val="single"/>
    </w:rPr>
  </w:style>
  <w:style w:type="character" w:styleId="Strong">
    <w:name w:val="Strong"/>
    <w:basedOn w:val="DefaultParagraphFont"/>
    <w:uiPriority w:val="22"/>
    <w:qFormat/>
    <w:rsid w:val="008C0553"/>
    <w:rPr>
      <w:b/>
      <w:bCs/>
    </w:rPr>
  </w:style>
  <w:style w:type="character" w:customStyle="1" w:styleId="UnresolvedMention1">
    <w:name w:val="Unresolved Mention1"/>
    <w:basedOn w:val="DefaultParagraphFont"/>
    <w:uiPriority w:val="99"/>
    <w:semiHidden/>
    <w:unhideWhenUsed/>
    <w:rsid w:val="0061724A"/>
    <w:rPr>
      <w:color w:val="808080"/>
      <w:shd w:val="clear" w:color="auto" w:fill="E6E6E6"/>
    </w:rPr>
  </w:style>
  <w:style w:type="character" w:styleId="CommentReference">
    <w:name w:val="annotation reference"/>
    <w:basedOn w:val="DefaultParagraphFont"/>
    <w:uiPriority w:val="99"/>
    <w:semiHidden/>
    <w:unhideWhenUsed/>
    <w:rsid w:val="008734C1"/>
    <w:rPr>
      <w:sz w:val="16"/>
      <w:szCs w:val="16"/>
    </w:rPr>
  </w:style>
  <w:style w:type="paragraph" w:styleId="CommentText">
    <w:name w:val="annotation text"/>
    <w:basedOn w:val="Normal"/>
    <w:link w:val="CommentTextChar"/>
    <w:uiPriority w:val="99"/>
    <w:semiHidden/>
    <w:unhideWhenUsed/>
    <w:rsid w:val="008734C1"/>
    <w:pPr>
      <w:spacing w:line="240" w:lineRule="auto"/>
    </w:pPr>
    <w:rPr>
      <w:sz w:val="20"/>
      <w:szCs w:val="20"/>
    </w:rPr>
  </w:style>
  <w:style w:type="character" w:customStyle="1" w:styleId="CommentTextChar">
    <w:name w:val="Comment Text Char"/>
    <w:basedOn w:val="DefaultParagraphFont"/>
    <w:link w:val="CommentText"/>
    <w:uiPriority w:val="99"/>
    <w:semiHidden/>
    <w:rsid w:val="008734C1"/>
    <w:rPr>
      <w:sz w:val="20"/>
      <w:szCs w:val="20"/>
    </w:rPr>
  </w:style>
  <w:style w:type="paragraph" w:styleId="CommentSubject">
    <w:name w:val="annotation subject"/>
    <w:basedOn w:val="CommentText"/>
    <w:next w:val="CommentText"/>
    <w:link w:val="CommentSubjectChar"/>
    <w:uiPriority w:val="99"/>
    <w:semiHidden/>
    <w:unhideWhenUsed/>
    <w:rsid w:val="008734C1"/>
    <w:rPr>
      <w:b/>
      <w:bCs/>
    </w:rPr>
  </w:style>
  <w:style w:type="character" w:customStyle="1" w:styleId="CommentSubjectChar">
    <w:name w:val="Comment Subject Char"/>
    <w:basedOn w:val="CommentTextChar"/>
    <w:link w:val="CommentSubject"/>
    <w:uiPriority w:val="99"/>
    <w:semiHidden/>
    <w:rsid w:val="008734C1"/>
    <w:rPr>
      <w:b/>
      <w:bCs/>
      <w:sz w:val="20"/>
      <w:szCs w:val="20"/>
    </w:rPr>
  </w:style>
  <w:style w:type="character" w:styleId="FollowedHyperlink">
    <w:name w:val="FollowedHyperlink"/>
    <w:basedOn w:val="DefaultParagraphFont"/>
    <w:uiPriority w:val="99"/>
    <w:semiHidden/>
    <w:unhideWhenUsed/>
    <w:rsid w:val="00C303FD"/>
    <w:rPr>
      <w:color w:val="B4CA80" w:themeColor="followedHyperlink"/>
      <w:u w:val="single"/>
    </w:rPr>
  </w:style>
  <w:style w:type="paragraph" w:styleId="Revision">
    <w:name w:val="Revision"/>
    <w:hidden/>
    <w:uiPriority w:val="99"/>
    <w:semiHidden/>
    <w:rsid w:val="00A95E46"/>
    <w:pPr>
      <w:spacing w:after="0" w:line="240" w:lineRule="auto"/>
    </w:pPr>
  </w:style>
  <w:style w:type="character" w:styleId="UnresolvedMention">
    <w:name w:val="Unresolved Mention"/>
    <w:basedOn w:val="DefaultParagraphFont"/>
    <w:uiPriority w:val="99"/>
    <w:semiHidden/>
    <w:unhideWhenUsed/>
    <w:rsid w:val="003B09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4399">
      <w:bodyDiv w:val="1"/>
      <w:marLeft w:val="0"/>
      <w:marRight w:val="0"/>
      <w:marTop w:val="0"/>
      <w:marBottom w:val="0"/>
      <w:divBdr>
        <w:top w:val="none" w:sz="0" w:space="0" w:color="auto"/>
        <w:left w:val="none" w:sz="0" w:space="0" w:color="auto"/>
        <w:bottom w:val="none" w:sz="0" w:space="0" w:color="auto"/>
        <w:right w:val="none" w:sz="0" w:space="0" w:color="auto"/>
      </w:divBdr>
    </w:div>
    <w:div w:id="573322597">
      <w:bodyDiv w:val="1"/>
      <w:marLeft w:val="0"/>
      <w:marRight w:val="0"/>
      <w:marTop w:val="0"/>
      <w:marBottom w:val="0"/>
      <w:divBdr>
        <w:top w:val="none" w:sz="0" w:space="0" w:color="auto"/>
        <w:left w:val="none" w:sz="0" w:space="0" w:color="auto"/>
        <w:bottom w:val="none" w:sz="0" w:space="0" w:color="auto"/>
        <w:right w:val="none" w:sz="0" w:space="0" w:color="auto"/>
      </w:divBdr>
    </w:div>
    <w:div w:id="817654059">
      <w:bodyDiv w:val="1"/>
      <w:marLeft w:val="0"/>
      <w:marRight w:val="0"/>
      <w:marTop w:val="0"/>
      <w:marBottom w:val="0"/>
      <w:divBdr>
        <w:top w:val="none" w:sz="0" w:space="0" w:color="auto"/>
        <w:left w:val="none" w:sz="0" w:space="0" w:color="auto"/>
        <w:bottom w:val="none" w:sz="0" w:space="0" w:color="auto"/>
        <w:right w:val="none" w:sz="0" w:space="0" w:color="auto"/>
      </w:divBdr>
    </w:div>
    <w:div w:id="1013997569">
      <w:bodyDiv w:val="1"/>
      <w:marLeft w:val="0"/>
      <w:marRight w:val="0"/>
      <w:marTop w:val="0"/>
      <w:marBottom w:val="0"/>
      <w:divBdr>
        <w:top w:val="none" w:sz="0" w:space="0" w:color="auto"/>
        <w:left w:val="none" w:sz="0" w:space="0" w:color="auto"/>
        <w:bottom w:val="none" w:sz="0" w:space="0" w:color="auto"/>
        <w:right w:val="none" w:sz="0" w:space="0" w:color="auto"/>
      </w:divBdr>
    </w:div>
    <w:div w:id="1035692680">
      <w:bodyDiv w:val="1"/>
      <w:marLeft w:val="0"/>
      <w:marRight w:val="0"/>
      <w:marTop w:val="0"/>
      <w:marBottom w:val="0"/>
      <w:divBdr>
        <w:top w:val="none" w:sz="0" w:space="0" w:color="auto"/>
        <w:left w:val="none" w:sz="0" w:space="0" w:color="auto"/>
        <w:bottom w:val="none" w:sz="0" w:space="0" w:color="auto"/>
        <w:right w:val="none" w:sz="0" w:space="0" w:color="auto"/>
      </w:divBdr>
    </w:div>
    <w:div w:id="1175268319">
      <w:bodyDiv w:val="1"/>
      <w:marLeft w:val="0"/>
      <w:marRight w:val="0"/>
      <w:marTop w:val="0"/>
      <w:marBottom w:val="0"/>
      <w:divBdr>
        <w:top w:val="none" w:sz="0" w:space="0" w:color="auto"/>
        <w:left w:val="none" w:sz="0" w:space="0" w:color="auto"/>
        <w:bottom w:val="none" w:sz="0" w:space="0" w:color="auto"/>
        <w:right w:val="none" w:sz="0" w:space="0" w:color="auto"/>
      </w:divBdr>
    </w:div>
    <w:div w:id="1253665123">
      <w:bodyDiv w:val="1"/>
      <w:marLeft w:val="0"/>
      <w:marRight w:val="0"/>
      <w:marTop w:val="0"/>
      <w:marBottom w:val="0"/>
      <w:divBdr>
        <w:top w:val="none" w:sz="0" w:space="0" w:color="auto"/>
        <w:left w:val="none" w:sz="0" w:space="0" w:color="auto"/>
        <w:bottom w:val="none" w:sz="0" w:space="0" w:color="auto"/>
        <w:right w:val="none" w:sz="0" w:space="0" w:color="auto"/>
      </w:divBdr>
    </w:div>
    <w:div w:id="1469130173">
      <w:bodyDiv w:val="1"/>
      <w:marLeft w:val="0"/>
      <w:marRight w:val="0"/>
      <w:marTop w:val="0"/>
      <w:marBottom w:val="0"/>
      <w:divBdr>
        <w:top w:val="none" w:sz="0" w:space="0" w:color="auto"/>
        <w:left w:val="none" w:sz="0" w:space="0" w:color="auto"/>
        <w:bottom w:val="none" w:sz="0" w:space="0" w:color="auto"/>
        <w:right w:val="none" w:sz="0" w:space="0" w:color="auto"/>
      </w:divBdr>
    </w:div>
    <w:div w:id="1607149483">
      <w:bodyDiv w:val="1"/>
      <w:marLeft w:val="0"/>
      <w:marRight w:val="0"/>
      <w:marTop w:val="0"/>
      <w:marBottom w:val="0"/>
      <w:divBdr>
        <w:top w:val="none" w:sz="0" w:space="0" w:color="auto"/>
        <w:left w:val="none" w:sz="0" w:space="0" w:color="auto"/>
        <w:bottom w:val="none" w:sz="0" w:space="0" w:color="auto"/>
        <w:right w:val="none" w:sz="0" w:space="0" w:color="auto"/>
      </w:divBdr>
    </w:div>
    <w:div w:id="1686402122">
      <w:bodyDiv w:val="1"/>
      <w:marLeft w:val="0"/>
      <w:marRight w:val="0"/>
      <w:marTop w:val="0"/>
      <w:marBottom w:val="0"/>
      <w:divBdr>
        <w:top w:val="none" w:sz="0" w:space="0" w:color="auto"/>
        <w:left w:val="none" w:sz="0" w:space="0" w:color="auto"/>
        <w:bottom w:val="none" w:sz="0" w:space="0" w:color="auto"/>
        <w:right w:val="none" w:sz="0" w:space="0" w:color="auto"/>
      </w:divBdr>
    </w:div>
    <w:div w:id="1841190550">
      <w:bodyDiv w:val="1"/>
      <w:marLeft w:val="0"/>
      <w:marRight w:val="0"/>
      <w:marTop w:val="0"/>
      <w:marBottom w:val="0"/>
      <w:divBdr>
        <w:top w:val="none" w:sz="0" w:space="0" w:color="auto"/>
        <w:left w:val="none" w:sz="0" w:space="0" w:color="auto"/>
        <w:bottom w:val="none" w:sz="0" w:space="0" w:color="auto"/>
        <w:right w:val="none" w:sz="0" w:space="0" w:color="auto"/>
      </w:divBdr>
    </w:div>
    <w:div w:id="1886522915">
      <w:bodyDiv w:val="1"/>
      <w:marLeft w:val="0"/>
      <w:marRight w:val="0"/>
      <w:marTop w:val="0"/>
      <w:marBottom w:val="0"/>
      <w:divBdr>
        <w:top w:val="none" w:sz="0" w:space="0" w:color="auto"/>
        <w:left w:val="none" w:sz="0" w:space="0" w:color="auto"/>
        <w:bottom w:val="none" w:sz="0" w:space="0" w:color="auto"/>
        <w:right w:val="none" w:sz="0" w:space="0" w:color="auto"/>
      </w:divBdr>
    </w:div>
    <w:div w:id="20415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hud.gov/hudportal/documents/huddoc?id=13-06cpdn.pdf" TargetMode="External"/><Relationship Id="rId13" Type="http://schemas.openxmlformats.org/officeDocument/2006/relationships/hyperlink" Target="http://www.hcd.ca.gov/grants-funding/active-funding/vhhp/docs/VHHP-Award-Data-Summary.pdf" TargetMode="External"/><Relationship Id="rId18" Type="http://schemas.openxmlformats.org/officeDocument/2006/relationships/hyperlink" Target="https://www.hud.gov/offices/cpd/about/conplan/pdf/finalrule_bookview.pdf" TargetMode="External"/><Relationship Id="rId26" Type="http://schemas.openxmlformats.org/officeDocument/2006/relationships/hyperlink" Target="https://www.hud.gov/offices/cpd/about/conplan/pdf/2010actionplan.pdf" TargetMode="External"/><Relationship Id="rId39" Type="http://schemas.openxmlformats.org/officeDocument/2006/relationships/hyperlink" Target="http://www.hcd.ca.gov/policy-research/plans-reports/index.shtml" TargetMode="External"/><Relationship Id="rId3" Type="http://schemas.openxmlformats.org/officeDocument/2006/relationships/styles" Target="styles.xml"/><Relationship Id="rId21" Type="http://schemas.openxmlformats.org/officeDocument/2006/relationships/hyperlink" Target="https://www.gpo.gov/fdsys/pkg/CFR-2014-title24-vol1/pdf/CFR-2014-title24-vol1-sec91-320.pdf" TargetMode="External"/><Relationship Id="rId34" Type="http://schemas.openxmlformats.org/officeDocument/2006/relationships/hyperlink" Target="https://www.ecfr.gov/cgi-bin/retrieveECFR?gp=&amp;SID=43f1c5cd006a77ecd7f1dc31477036cc&amp;n=pt24.1.92&amp;r=PART&amp;ty=HTML" TargetMode="External"/><Relationship Id="rId42" Type="http://schemas.openxmlformats.org/officeDocument/2006/relationships/hyperlink" Target="https://www.gpo.gov/fdsys/pkg/CFR-2014-title24-vol1/pdf/CFR-2014-title24-vol1-sec91-320.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po.gov/fdsys/granule/CFR-2013-title24-vol3/CFR-2013-title24-vol3-sec576-201" TargetMode="External"/><Relationship Id="rId17" Type="http://schemas.openxmlformats.org/officeDocument/2006/relationships/hyperlink" Target="https://www.ecfr.gov/cgi-bin/text-idx?tpl=/ecfrbrowse/Title24/24cfr91_main_02.tpl" TargetMode="External"/><Relationship Id="rId25" Type="http://schemas.openxmlformats.org/officeDocument/2006/relationships/hyperlink" Target="file:///\\hqfiles\groups\Caper\2016-17\91.320(j)" TargetMode="External"/><Relationship Id="rId33" Type="http://schemas.openxmlformats.org/officeDocument/2006/relationships/hyperlink" Target="http://www.hcd.ca.gov/policy-research/plans-reports/docs/state_of_ca_analysis_of_impediments_full%20report0912.pdf" TargetMode="External"/><Relationship Id="rId38" Type="http://schemas.openxmlformats.org/officeDocument/2006/relationships/hyperlink" Target="https://www.ecfr.gov/cgi-bin/text-idx?tpl=/ecfrbrowse/Title24/24cfr91_main_02.tp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po.gov/fdsys/search/pagedetails.action?packageId=CFR-2016-title24-vol1&amp;fromState=&amp;granuleId=CFR-2016-title24-vol1-sec91-220" TargetMode="External"/><Relationship Id="rId20" Type="http://schemas.openxmlformats.org/officeDocument/2006/relationships/hyperlink" Target="https://www.hud.gov/offices/cpd/about/conplan/pdf/finalrule_bookview.pdf" TargetMode="External"/><Relationship Id="rId29" Type="http://schemas.openxmlformats.org/officeDocument/2006/relationships/hyperlink" Target="See:%20http://www.hcd.ca.gov/grants-funding/active-funding/ahsc.shtml" TargetMode="External"/><Relationship Id="rId41" Type="http://schemas.openxmlformats.org/officeDocument/2006/relationships/hyperlink" Target="https://www.gpo.gov/fdsys/pkg/CFR-2010-title24-vol1/pdf/CFR-2010-title24-vol1-sec91-2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d.ca.gov/policy-research/plans-reports/index.shtmlor%20" TargetMode="External"/><Relationship Id="rId24" Type="http://schemas.openxmlformats.org/officeDocument/2006/relationships/hyperlink" Target="https://www.hud.gov/offices/cpd/about/conplan/pdf/finalrule_bookview.pdf" TargetMode="External"/><Relationship Id="rId32" Type="http://schemas.openxmlformats.org/officeDocument/2006/relationships/hyperlink" Target="https://portal.hud.gov/hudportal/documents/huddoc?id=13-06cpdn.pdf" TargetMode="External"/><Relationship Id="rId37" Type="http://schemas.openxmlformats.org/officeDocument/2006/relationships/hyperlink" Target="http://www.hcd.ca.gov/grants-funding/active-funding/home.shtml" TargetMode="External"/><Relationship Id="rId40" Type="http://schemas.openxmlformats.org/officeDocument/2006/relationships/hyperlink" Target="https://www.ecfr.gov/cgi-bin/text-idx?tpl=/ecfrbrowse/Title24/24cfr92_main_02.t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lhfa.ca.gov/multifamily/section811/index.htm" TargetMode="External"/><Relationship Id="rId23" Type="http://schemas.openxmlformats.org/officeDocument/2006/relationships/hyperlink" Target="file:///\\hqfiles\groups\Caper\2016-17\91.320(j)" TargetMode="External"/><Relationship Id="rId28" Type="http://schemas.openxmlformats.org/officeDocument/2006/relationships/hyperlink" Target="http://www.calhfa.ca.gov/multifamily/section811/index.htm" TargetMode="External"/><Relationship Id="rId36" Type="http://schemas.openxmlformats.org/officeDocument/2006/relationships/hyperlink" Target="https://portal.hud.gov/hudportal/HUD?src=/program_offices/fair_housing_equal_opp/section3/section3" TargetMode="External"/><Relationship Id="rId10" Type="http://schemas.openxmlformats.org/officeDocument/2006/relationships/hyperlink" Target="https://www.hudexchange.info/resource/1011/hopwa-caper-form-hud-40110-d/" TargetMode="External"/><Relationship Id="rId19" Type="http://schemas.openxmlformats.org/officeDocument/2006/relationships/hyperlink" Target="https://www.gpo.gov/fdsys/pkg/CFR-2014-title24-vol1/pdf/CFR-2014-title24-vol1-sec91-320.pdf" TargetMode="External"/><Relationship Id="rId31" Type="http://schemas.openxmlformats.org/officeDocument/2006/relationships/hyperlink" Target="http://www.hcd.ca.gov/grants-funding/active-funding/ahsc.shtm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rtal.hud.gov/hudportal/documents/huddoc?id=13-06cpdn.pdf" TargetMode="External"/><Relationship Id="rId14" Type="http://schemas.openxmlformats.org/officeDocument/2006/relationships/hyperlink" Target="http://www.cdss.ca.gov/CalWORKS." TargetMode="External"/><Relationship Id="rId22" Type="http://schemas.openxmlformats.org/officeDocument/2006/relationships/hyperlink" Target="https://www.hud.gov/offices/cpd/about/conplan/pdf/finalrule_bookview.pdf" TargetMode="External"/><Relationship Id="rId27" Type="http://schemas.openxmlformats.org/officeDocument/2006/relationships/hyperlink" Target="file:///\\hqfiles\groups\Caper\2016-17\91.320(j)" TargetMode="External"/><Relationship Id="rId30" Type="http://schemas.openxmlformats.org/officeDocument/2006/relationships/hyperlink" Target="http://www.hcd.ca.gov/grants-funding/active-funding/vhhp/docs/VHHP-Award-Data-Summary.pdf" TargetMode="External"/><Relationship Id="rId35" Type="http://schemas.openxmlformats.org/officeDocument/2006/relationships/hyperlink" Target="https://www.gpo.gov/fdsys/pkg/CFR-2016-title24-vol1/pdf/CFR-2016-title24-vol1-sec92-504.pdf" TargetMode="External"/><Relationship Id="rId43" Type="http://schemas.openxmlformats.org/officeDocument/2006/relationships/header" Target="header1.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34F2-F2C3-49A9-8D07-1275AFC3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13128</Words>
  <Characters>74835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87788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Spring@HCD</dc:creator>
  <cp:keywords/>
  <dc:description/>
  <cp:lastModifiedBy>Spring</cp:lastModifiedBy>
  <cp:revision>2</cp:revision>
  <cp:lastPrinted>2017-09-06T00:39:00Z</cp:lastPrinted>
  <dcterms:created xsi:type="dcterms:W3CDTF">2017-09-12T18:21:00Z</dcterms:created>
  <dcterms:modified xsi:type="dcterms:W3CDTF">2017-09-12T18:21:00Z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122841118</vt:i4>
  </property>
</Properties>
</file>