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6E16E6CA" w:rsidR="00704C9C" w:rsidRDefault="7FEE8816" w:rsidP="002F5C0F">
      <w:pPr>
        <w:pStyle w:val="Heading1"/>
      </w:pPr>
      <w:r w:rsidRPr="02A7658F">
        <w:rPr>
          <w:rFonts w:eastAsiaTheme="majorEastAsia"/>
        </w:rPr>
        <w:t xml:space="preserve">2025 CALIFORNIA </w:t>
      </w:r>
      <w:r w:rsidR="308C22E8" w:rsidRPr="02A7658F">
        <w:rPr>
          <w:rFonts w:eastAsiaTheme="majorEastAsia"/>
        </w:rPr>
        <w:t>BUILDING</w:t>
      </w:r>
      <w:r w:rsidRPr="02A7658F">
        <w:rPr>
          <w:rFonts w:eastAsiaTheme="majorEastAsia"/>
        </w:rPr>
        <w:t xml:space="preserve"> CODE</w:t>
      </w:r>
      <w:r w:rsidR="7702217A" w:rsidRPr="00AD67B3">
        <w:t>,</w:t>
      </w:r>
      <w:r w:rsidR="00941B9F">
        <w:br/>
      </w:r>
      <w:r w:rsidR="75640911" w:rsidRPr="00AD67B3">
        <w:t xml:space="preserve">CALIFORNIA CODE OF REGULATIONS, TITLE 24, PART </w:t>
      </w:r>
      <w:r w:rsidR="308C22E8" w:rsidRPr="02A7658F">
        <w:rPr>
          <w:rFonts w:eastAsiaTheme="majorEastAsia"/>
        </w:rPr>
        <w:t>2, CHAPTER 11A</w:t>
      </w:r>
      <w:r w:rsidR="00941B9F">
        <w:br/>
      </w:r>
      <w:r w:rsidR="664200DD" w:rsidRPr="00AD67B3">
        <w:t>(</w:t>
      </w:r>
      <w:r w:rsidR="005B1810" w:rsidRPr="69EFCB97">
        <w:rPr>
          <w:rFonts w:cs="Arial"/>
        </w:rPr>
        <w:t>HCD 1-AC</w:t>
      </w:r>
      <w:r w:rsidR="003022AD">
        <w:rPr>
          <w:rFonts w:cs="Arial"/>
        </w:rPr>
        <w:t xml:space="preserve"> </w:t>
      </w:r>
      <w:r w:rsidR="003022AD">
        <w:t>X</w:t>
      </w:r>
      <w:r w:rsidR="390AF1B6" w:rsidRPr="00AD67B3">
        <w:t>X/24</w:t>
      </w:r>
      <w:r w:rsidR="664200DD" w:rsidRPr="00AD67B3">
        <w:t>)</w:t>
      </w:r>
    </w:p>
    <w:p w14:paraId="331E6CEA" w14:textId="68D17A81" w:rsidR="005706E8" w:rsidRPr="005706E8" w:rsidRDefault="005706E8" w:rsidP="001F2463">
      <w:pPr>
        <w:pStyle w:val="Heading1"/>
        <w:spacing w:after="480"/>
      </w:pPr>
      <w:r w:rsidRPr="005706E8">
        <w:t>DOCUMENT FOR FOCUS GROUP DISCUSSION ONLY</w:t>
      </w:r>
    </w:p>
    <w:p w14:paraId="442B8D61" w14:textId="7ABB4C82" w:rsidR="000257AD" w:rsidRPr="00AD67B3" w:rsidRDefault="00E41F35" w:rsidP="002F5C0F">
      <w:pPr>
        <w:pStyle w:val="Heading2"/>
        <w:rPr>
          <w:bCs/>
        </w:rPr>
      </w:pPr>
      <w:bookmarkStart w:id="0" w:name="_Hlk51752204"/>
      <w:bookmarkEnd w:id="0"/>
      <w:r>
        <w:t>Discussion Items</w:t>
      </w:r>
    </w:p>
    <w:p w14:paraId="3094B847" w14:textId="6C5E1E06" w:rsidR="002C03CE" w:rsidRPr="00AD67B3" w:rsidRDefault="64AC0BE7" w:rsidP="02A7658F">
      <w:pPr>
        <w:pStyle w:val="Heading3"/>
        <w:rPr>
          <w:noProof/>
          <w:highlight w:val="lightGray"/>
        </w:rPr>
      </w:pPr>
      <w:r w:rsidRPr="00AD67B3">
        <w:t>ITEM</w:t>
      </w:r>
      <w:r w:rsidR="778E0D1B" w:rsidRPr="00AD67B3">
        <w:t xml:space="preserve"> </w:t>
      </w:r>
      <w:r w:rsidR="0834E7D2" w:rsidRPr="00AD67B3">
        <w:t>1</w:t>
      </w:r>
      <w:r w:rsidR="00854D8E">
        <w:br/>
      </w:r>
      <w:r w:rsidR="778E0D1B" w:rsidRPr="00AD67B3">
        <w:t xml:space="preserve">Chapter </w:t>
      </w:r>
      <w:r w:rsidR="0CD97C11" w:rsidRPr="02A7658F">
        <w:rPr>
          <w:rFonts w:eastAsia="Arial" w:cs="Arial"/>
        </w:rPr>
        <w:t>11A Housing Accessibility</w:t>
      </w:r>
      <w:r w:rsidR="00854D8E">
        <w:rPr>
          <w:rFonts w:eastAsia="Arial" w:cs="Arial"/>
        </w:rPr>
        <w:t xml:space="preserve">, </w:t>
      </w:r>
      <w:r w:rsidR="778E0D1B" w:rsidRPr="00AD67B3">
        <w:t xml:space="preserve">Section </w:t>
      </w:r>
      <w:r w:rsidR="49012D36" w:rsidRPr="02A7658F">
        <w:rPr>
          <w:i/>
          <w:iCs/>
        </w:rPr>
        <w:t>1101</w:t>
      </w:r>
      <w:r w:rsidR="007D4284">
        <w:rPr>
          <w:i/>
          <w:iCs/>
        </w:rPr>
        <w:t>A</w:t>
      </w:r>
      <w:r w:rsidR="49012D36" w:rsidRPr="02A7658F">
        <w:rPr>
          <w:i/>
          <w:iCs/>
        </w:rPr>
        <w:t xml:space="preserve">.1 </w:t>
      </w:r>
      <w:r w:rsidR="00E1309B" w:rsidRPr="02A7658F">
        <w:rPr>
          <w:i/>
          <w:iCs/>
        </w:rPr>
        <w:t>Scope,</w:t>
      </w:r>
      <w:r w:rsidR="49012D36" w:rsidRPr="02A7658F">
        <w:rPr>
          <w:i/>
          <w:iCs/>
        </w:rPr>
        <w:t xml:space="preserve"> </w:t>
      </w:r>
      <w:r w:rsidR="49012D36" w:rsidRPr="02A7658F">
        <w:t>and</w:t>
      </w:r>
      <w:r w:rsidR="49012D36" w:rsidRPr="02A7658F">
        <w:rPr>
          <w:i/>
          <w:iCs/>
        </w:rPr>
        <w:t xml:space="preserve"> Section 1102</w:t>
      </w:r>
      <w:r w:rsidR="788BE58F" w:rsidRPr="02A7658F">
        <w:rPr>
          <w:i/>
          <w:iCs/>
        </w:rPr>
        <w:t xml:space="preserve">A.1 Where </w:t>
      </w:r>
      <w:r w:rsidR="00E1309B" w:rsidRPr="02A7658F">
        <w:rPr>
          <w:i/>
          <w:iCs/>
        </w:rPr>
        <w:t>required.</w:t>
      </w:r>
    </w:p>
    <w:p w14:paraId="5FED264E" w14:textId="77549548" w:rsidR="002C03CE" w:rsidRPr="00B33C42" w:rsidRDefault="7AAC0C52" w:rsidP="02A7658F">
      <w:pPr>
        <w:rPr>
          <w:i/>
          <w:iCs/>
        </w:rPr>
      </w:pPr>
      <w:r w:rsidRPr="00B33C42">
        <w:rPr>
          <w:b/>
          <w:bCs/>
          <w:i/>
          <w:iCs/>
        </w:rPr>
        <w:t>1101A.1 Scope</w:t>
      </w:r>
      <w:r w:rsidRPr="00B33C42">
        <w:rPr>
          <w:i/>
          <w:iCs/>
        </w:rPr>
        <w:t>. The application and authority of this chapter are identified and referenced in Sections 1.8.2.1.2 and 1102A for the Department of Housing and Community Development. Applicable sections are identified in the Matrix Adoption Tables of this code under the abbreviation HCD 1-AC. The provisions of this chapter shall apply to the following:</w:t>
      </w:r>
    </w:p>
    <w:p w14:paraId="5159EDDE" w14:textId="04F4A7F3" w:rsidR="002C03CE" w:rsidRPr="00B33C42" w:rsidRDefault="7AAC0C52" w:rsidP="00B33C42">
      <w:pPr>
        <w:pStyle w:val="ListParagraph"/>
        <w:numPr>
          <w:ilvl w:val="0"/>
          <w:numId w:val="18"/>
        </w:numPr>
        <w:rPr>
          <w:i/>
          <w:iCs/>
        </w:rPr>
      </w:pPr>
      <w:r w:rsidRPr="00B33C42">
        <w:rPr>
          <w:i/>
          <w:iCs/>
        </w:rPr>
        <w:t xml:space="preserve">All </w:t>
      </w:r>
      <w:proofErr w:type="gramStart"/>
      <w:r w:rsidRPr="00B33C42">
        <w:rPr>
          <w:i/>
          <w:iCs/>
        </w:rPr>
        <w:t>newly-constructed</w:t>
      </w:r>
      <w:proofErr w:type="gramEnd"/>
      <w:r w:rsidRPr="00B33C42">
        <w:rPr>
          <w:i/>
          <w:iCs/>
        </w:rPr>
        <w:t xml:space="preserve"> covered multifamily dwellings.</w:t>
      </w:r>
    </w:p>
    <w:p w14:paraId="03CEAB90" w14:textId="4A3D59AA" w:rsidR="002C03CE" w:rsidRPr="00B33C42" w:rsidRDefault="7AAC0C52" w:rsidP="00B33C42">
      <w:pPr>
        <w:pStyle w:val="ListParagraph"/>
        <w:numPr>
          <w:ilvl w:val="0"/>
          <w:numId w:val="18"/>
        </w:numPr>
        <w:rPr>
          <w:i/>
          <w:iCs/>
        </w:rPr>
      </w:pPr>
      <w:r w:rsidRPr="00B33C42">
        <w:rPr>
          <w:i/>
          <w:iCs/>
        </w:rPr>
        <w:t>New common use areas serving existing covered multifamily dwellings.</w:t>
      </w:r>
    </w:p>
    <w:p w14:paraId="0CAAD836" w14:textId="1E675590" w:rsidR="002C03CE" w:rsidRPr="00B33C42" w:rsidRDefault="7AAC0C52" w:rsidP="00B33C42">
      <w:pPr>
        <w:pStyle w:val="ListParagraph"/>
        <w:numPr>
          <w:ilvl w:val="0"/>
          <w:numId w:val="18"/>
        </w:numPr>
        <w:rPr>
          <w:i/>
          <w:iCs/>
        </w:rPr>
      </w:pPr>
      <w:r w:rsidRPr="00B33C42">
        <w:rPr>
          <w:i/>
          <w:iCs/>
        </w:rPr>
        <w:t>Additions to existing buildings, where the addition alone meets the definition of a covered multifamily dwelling.</w:t>
      </w:r>
    </w:p>
    <w:p w14:paraId="01D84F70" w14:textId="0A6EF1ED" w:rsidR="002C03CE" w:rsidRPr="00B33C42" w:rsidRDefault="7AAC0C52" w:rsidP="00B33C42">
      <w:pPr>
        <w:pStyle w:val="ListParagraph"/>
        <w:numPr>
          <w:ilvl w:val="0"/>
          <w:numId w:val="18"/>
        </w:numPr>
        <w:rPr>
          <w:i/>
          <w:iCs/>
        </w:rPr>
      </w:pPr>
      <w:r w:rsidRPr="00B33C42">
        <w:rPr>
          <w:i/>
          <w:iCs/>
        </w:rPr>
        <w:t>New common-use areas serving new covered multifamily</w:t>
      </w:r>
      <w:r w:rsidR="6EF11F6A" w:rsidRPr="00B33C42">
        <w:rPr>
          <w:i/>
          <w:iCs/>
        </w:rPr>
        <w:t xml:space="preserve"> </w:t>
      </w:r>
      <w:r w:rsidRPr="00B33C42">
        <w:rPr>
          <w:i/>
          <w:iCs/>
        </w:rPr>
        <w:t>dwellings.</w:t>
      </w:r>
    </w:p>
    <w:p w14:paraId="42FB9E69" w14:textId="37A6A446" w:rsidR="00F976A1" w:rsidRPr="00B33C42" w:rsidRDefault="7AAC0C52" w:rsidP="00B33C42">
      <w:pPr>
        <w:pStyle w:val="ListParagraph"/>
        <w:numPr>
          <w:ilvl w:val="0"/>
          <w:numId w:val="18"/>
        </w:numPr>
        <w:rPr>
          <w:i/>
          <w:iCs/>
        </w:rPr>
      </w:pPr>
      <w:r w:rsidRPr="00B33C42">
        <w:rPr>
          <w:i/>
          <w:iCs/>
        </w:rPr>
        <w:t>Where any portion of a building’s exterior is preserved,</w:t>
      </w:r>
      <w:r w:rsidR="408F7808" w:rsidRPr="00B33C42">
        <w:rPr>
          <w:i/>
          <w:iCs/>
        </w:rPr>
        <w:t xml:space="preserve"> </w:t>
      </w:r>
      <w:r w:rsidRPr="00B33C42">
        <w:rPr>
          <w:i/>
          <w:iCs/>
        </w:rPr>
        <w:t>but the interior of the building is removed, including all</w:t>
      </w:r>
      <w:r w:rsidR="3FDB1782" w:rsidRPr="00B33C42">
        <w:rPr>
          <w:i/>
          <w:iCs/>
        </w:rPr>
        <w:t xml:space="preserve"> </w:t>
      </w:r>
      <w:r w:rsidRPr="00B33C42">
        <w:rPr>
          <w:i/>
          <w:iCs/>
        </w:rPr>
        <w:t>structural portions of floors and ceilings, the building</w:t>
      </w:r>
      <w:r w:rsidR="5A2F4A70" w:rsidRPr="00B33C42">
        <w:rPr>
          <w:i/>
          <w:iCs/>
        </w:rPr>
        <w:t xml:space="preserve"> </w:t>
      </w:r>
      <w:r w:rsidRPr="00B33C42">
        <w:rPr>
          <w:i/>
          <w:iCs/>
        </w:rPr>
        <w:t>is considered a new building for determining the application</w:t>
      </w:r>
      <w:r w:rsidR="5E5A3CBB" w:rsidRPr="00B33C42">
        <w:rPr>
          <w:i/>
          <w:iCs/>
        </w:rPr>
        <w:t xml:space="preserve"> </w:t>
      </w:r>
      <w:r w:rsidRPr="00B33C42">
        <w:rPr>
          <w:i/>
          <w:iCs/>
        </w:rPr>
        <w:t>of this chapter.</w:t>
      </w:r>
      <w:r w:rsidR="6B0E93A8" w:rsidRPr="00B33C42">
        <w:rPr>
          <w:i/>
          <w:iCs/>
        </w:rPr>
        <w:t xml:space="preserve"> </w:t>
      </w:r>
      <w:r w:rsidR="000B592B" w:rsidRPr="007D6FEB">
        <w:rPr>
          <w:rFonts w:cs="Arial"/>
          <w:szCs w:val="24"/>
        </w:rPr>
        <w:t>(No change to existing California amendment.)</w:t>
      </w:r>
    </w:p>
    <w:p w14:paraId="1BE5D042" w14:textId="42AE5083" w:rsidR="002C03CE" w:rsidRPr="00B33C42" w:rsidRDefault="00DD1F95" w:rsidP="02A7658F">
      <w:pPr>
        <w:rPr>
          <w:i/>
          <w:iCs/>
        </w:rPr>
      </w:pPr>
      <w:r>
        <w:rPr>
          <w:i/>
          <w:iCs/>
        </w:rPr>
        <w:t xml:space="preserve">   </w:t>
      </w:r>
      <w:r w:rsidR="7AAC0C52" w:rsidRPr="00B33C42">
        <w:rPr>
          <w:i/>
          <w:iCs/>
        </w:rPr>
        <w:t>Chapter 11A generally does not apply to public accommodations</w:t>
      </w:r>
      <w:r w:rsidR="3BC5E6D6" w:rsidRPr="00B33C42">
        <w:rPr>
          <w:i/>
          <w:iCs/>
        </w:rPr>
        <w:t xml:space="preserve"> </w:t>
      </w:r>
      <w:r w:rsidR="7AAC0C52" w:rsidRPr="00B33C42">
        <w:rPr>
          <w:i/>
          <w:iCs/>
        </w:rPr>
        <w:t>such as hotels and motels and public housing. Public</w:t>
      </w:r>
      <w:r w:rsidR="529034B2" w:rsidRPr="00B33C42">
        <w:rPr>
          <w:i/>
          <w:iCs/>
        </w:rPr>
        <w:t xml:space="preserve"> </w:t>
      </w:r>
      <w:r w:rsidR="7AAC0C52" w:rsidRPr="00B33C42">
        <w:rPr>
          <w:i/>
          <w:iCs/>
        </w:rPr>
        <w:t xml:space="preserve">use areas, public accommodations and public </w:t>
      </w:r>
      <w:r w:rsidR="00871885" w:rsidRPr="00B33C42">
        <w:rPr>
          <w:i/>
          <w:iCs/>
        </w:rPr>
        <w:t>h</w:t>
      </w:r>
      <w:r w:rsidR="7AAC0C52" w:rsidRPr="00B33C42">
        <w:rPr>
          <w:i/>
          <w:iCs/>
        </w:rPr>
        <w:t>ousing as</w:t>
      </w:r>
      <w:r w:rsidR="005614C9" w:rsidRPr="00B33C42">
        <w:rPr>
          <w:i/>
          <w:iCs/>
        </w:rPr>
        <w:t xml:space="preserve"> </w:t>
      </w:r>
      <w:r w:rsidR="7AAC0C52" w:rsidRPr="00B33C42">
        <w:rPr>
          <w:i/>
          <w:iCs/>
        </w:rPr>
        <w:t>defined in Chapter 2 of this code are subject to provisions of</w:t>
      </w:r>
      <w:r w:rsidR="005614C9" w:rsidRPr="00B33C42">
        <w:rPr>
          <w:i/>
          <w:iCs/>
        </w:rPr>
        <w:t xml:space="preserve"> </w:t>
      </w:r>
      <w:r w:rsidR="7AAC0C52" w:rsidRPr="00B33C42">
        <w:rPr>
          <w:i/>
          <w:iCs/>
        </w:rPr>
        <w:t xml:space="preserve">the Division of the State Architect (DSA-AC) in Chapter </w:t>
      </w:r>
      <w:r w:rsidR="005614C9" w:rsidRPr="00B33C42">
        <w:rPr>
          <w:i/>
          <w:iCs/>
        </w:rPr>
        <w:t>11B and</w:t>
      </w:r>
      <w:r w:rsidR="7AAC0C52" w:rsidRPr="00B33C42">
        <w:rPr>
          <w:i/>
          <w:iCs/>
        </w:rPr>
        <w:t xml:space="preserve"> are referenced in Section 1.9.1.</w:t>
      </w:r>
      <w:r w:rsidR="00515904">
        <w:rPr>
          <w:i/>
          <w:iCs/>
        </w:rPr>
        <w:t xml:space="preserve"> </w:t>
      </w:r>
      <w:r w:rsidR="00515904" w:rsidRPr="007D6FEB">
        <w:rPr>
          <w:rFonts w:cs="Arial"/>
          <w:szCs w:val="24"/>
        </w:rPr>
        <w:t>(No change to existing California amendment.)</w:t>
      </w:r>
    </w:p>
    <w:p w14:paraId="3657E360" w14:textId="43C49634" w:rsidR="002C03CE" w:rsidRDefault="7AAC0C52" w:rsidP="02A7658F">
      <w:r w:rsidRPr="00B33C42">
        <w:rPr>
          <w:i/>
          <w:iCs/>
        </w:rPr>
        <w:t>Newly constructed covered multifamily dwellings, which</w:t>
      </w:r>
      <w:r w:rsidR="005614C9" w:rsidRPr="00B33C42">
        <w:rPr>
          <w:i/>
          <w:iCs/>
        </w:rPr>
        <w:t xml:space="preserve"> </w:t>
      </w:r>
      <w:r w:rsidRPr="00B33C42">
        <w:rPr>
          <w:i/>
          <w:iCs/>
        </w:rPr>
        <w:t>can also be defined as public housing, shall be subject to the</w:t>
      </w:r>
      <w:r w:rsidR="00F976A1" w:rsidRPr="00B33C42">
        <w:rPr>
          <w:i/>
          <w:iCs/>
        </w:rPr>
        <w:t xml:space="preserve"> </w:t>
      </w:r>
      <w:r w:rsidRPr="00B33C42">
        <w:rPr>
          <w:i/>
          <w:iCs/>
        </w:rPr>
        <w:t xml:space="preserve">requirements of </w:t>
      </w:r>
      <w:r w:rsidRPr="00515904">
        <w:rPr>
          <w:i/>
          <w:iCs/>
          <w:strike/>
        </w:rPr>
        <w:t>Chapter 11A and</w:t>
      </w:r>
      <w:r w:rsidRPr="00B33C42">
        <w:rPr>
          <w:i/>
          <w:iCs/>
        </w:rPr>
        <w:t xml:space="preserve"> Chapter 11B</w:t>
      </w:r>
      <w:r>
        <w:t>.</w:t>
      </w:r>
    </w:p>
    <w:p w14:paraId="4B24EA03" w14:textId="0AC82FD7" w:rsidR="002A6700" w:rsidRPr="002718E0" w:rsidRDefault="00FB07B0" w:rsidP="00FB07B0">
      <w:pPr>
        <w:rPr>
          <w:rFonts w:cs="Arial"/>
          <w:i/>
          <w:iCs/>
          <w:szCs w:val="24"/>
        </w:rPr>
      </w:pPr>
      <w:r w:rsidRPr="002718E0">
        <w:rPr>
          <w:b/>
          <w:bCs/>
          <w:i/>
          <w:iCs/>
        </w:rPr>
        <w:t>1102A.1 Where required</w:t>
      </w:r>
      <w:r w:rsidRPr="002718E0">
        <w:rPr>
          <w:i/>
          <w:iCs/>
        </w:rPr>
        <w:t>. Buildings or portions of buildings and facilities within the scope of this chapter shall be accessible to persons with disabilities. Each building on a building site shall be considered separately when determining the requirements contained in this chapter, except when calculating the number of units which must comply with Section 1102A.3.1. Dwelling units within a single structure separated</w:t>
      </w:r>
      <w:r w:rsidR="00AC4E78" w:rsidRPr="002718E0">
        <w:rPr>
          <w:i/>
          <w:iCs/>
        </w:rPr>
        <w:t xml:space="preserve"> </w:t>
      </w:r>
      <w:r w:rsidRPr="002718E0">
        <w:rPr>
          <w:i/>
          <w:iCs/>
        </w:rPr>
        <w:t>by firewalls do not constitute separate buildings.</w:t>
      </w:r>
      <w:r w:rsidR="00AC4E78" w:rsidRPr="002718E0">
        <w:rPr>
          <w:rFonts w:cs="Arial"/>
          <w:i/>
          <w:iCs/>
          <w:szCs w:val="24"/>
        </w:rPr>
        <w:t xml:space="preserve"> (No change to existing California amendment.)</w:t>
      </w:r>
    </w:p>
    <w:p w14:paraId="2F5252D3" w14:textId="3517CA13" w:rsidR="001208ED" w:rsidRPr="002718E0" w:rsidRDefault="001208ED" w:rsidP="001208ED">
      <w:pPr>
        <w:rPr>
          <w:rFonts w:cs="Arial"/>
          <w:i/>
          <w:iCs/>
          <w:szCs w:val="24"/>
        </w:rPr>
      </w:pPr>
      <w:proofErr w:type="gramStart"/>
      <w:r w:rsidRPr="002718E0">
        <w:rPr>
          <w:rFonts w:cs="Arial"/>
          <w:i/>
          <w:iCs/>
          <w:szCs w:val="24"/>
        </w:rPr>
        <w:t>Newly-constructed</w:t>
      </w:r>
      <w:proofErr w:type="gramEnd"/>
      <w:r w:rsidRPr="002718E0">
        <w:rPr>
          <w:rFonts w:cs="Arial"/>
          <w:i/>
          <w:iCs/>
          <w:szCs w:val="24"/>
        </w:rPr>
        <w:t xml:space="preserve"> covered multifamily dwellings as defined in this chapter, include, but are not limited to, the following:</w:t>
      </w:r>
    </w:p>
    <w:p w14:paraId="78B2063D" w14:textId="48621884" w:rsidR="00AC4E78" w:rsidRPr="002718E0" w:rsidRDefault="001208ED" w:rsidP="00407BE9">
      <w:pPr>
        <w:pStyle w:val="ListParagraph"/>
        <w:numPr>
          <w:ilvl w:val="0"/>
          <w:numId w:val="19"/>
        </w:numPr>
        <w:rPr>
          <w:rFonts w:cs="Arial"/>
          <w:i/>
          <w:iCs/>
          <w:szCs w:val="24"/>
        </w:rPr>
      </w:pPr>
      <w:r w:rsidRPr="002718E0">
        <w:rPr>
          <w:rFonts w:cs="Arial"/>
          <w:i/>
          <w:iCs/>
          <w:szCs w:val="24"/>
        </w:rPr>
        <w:t>Apartment buildings</w:t>
      </w:r>
      <w:r w:rsidR="00AC4E78" w:rsidRPr="002718E0">
        <w:rPr>
          <w:rFonts w:cs="Arial"/>
          <w:i/>
          <w:iCs/>
          <w:szCs w:val="24"/>
        </w:rPr>
        <w:t xml:space="preserve">… </w:t>
      </w:r>
      <w:r w:rsidR="00407BE9" w:rsidRPr="002718E0">
        <w:rPr>
          <w:rFonts w:cs="Arial"/>
          <w:i/>
          <w:iCs/>
          <w:szCs w:val="24"/>
        </w:rPr>
        <w:t>(No change to existing California amendment.)</w:t>
      </w:r>
    </w:p>
    <w:p w14:paraId="768E33B2" w14:textId="24ED4BB8" w:rsidR="00407BE9" w:rsidRPr="002718E0" w:rsidRDefault="00AB51E6" w:rsidP="00407BE9">
      <w:pPr>
        <w:pStyle w:val="ListParagraph"/>
        <w:numPr>
          <w:ilvl w:val="0"/>
          <w:numId w:val="19"/>
        </w:numPr>
        <w:rPr>
          <w:rFonts w:cs="Arial"/>
          <w:i/>
          <w:iCs/>
          <w:szCs w:val="24"/>
        </w:rPr>
      </w:pPr>
      <w:r w:rsidRPr="002718E0">
        <w:rPr>
          <w:rFonts w:cs="Arial"/>
          <w:i/>
          <w:iCs/>
          <w:szCs w:val="24"/>
        </w:rPr>
        <w:t>t</w:t>
      </w:r>
      <w:r w:rsidR="00407BE9" w:rsidRPr="002718E0">
        <w:rPr>
          <w:rFonts w:cs="Arial"/>
          <w:i/>
          <w:iCs/>
          <w:szCs w:val="24"/>
        </w:rPr>
        <w:t xml:space="preserve">hrough </w:t>
      </w:r>
      <w:r w:rsidRPr="002718E0">
        <w:rPr>
          <w:rFonts w:cs="Arial"/>
          <w:i/>
          <w:iCs/>
          <w:szCs w:val="24"/>
        </w:rPr>
        <w:t>9. (No change to existing California amendment.)</w:t>
      </w:r>
    </w:p>
    <w:p w14:paraId="79B873DF" w14:textId="3F970F62" w:rsidR="00AC4E78" w:rsidRPr="00AD67B3" w:rsidRDefault="002718E0" w:rsidP="001F2463">
      <w:pPr>
        <w:pStyle w:val="ListParagraph"/>
        <w:numPr>
          <w:ilvl w:val="0"/>
          <w:numId w:val="21"/>
        </w:numPr>
        <w:spacing w:after="480"/>
      </w:pPr>
      <w:r w:rsidRPr="002718E0">
        <w:rPr>
          <w:i/>
          <w:iCs/>
        </w:rPr>
        <w:t xml:space="preserve">Public housing as defined in Chapter 2 of this code is subject to provisions of the Division of the State Architect (DSA-AC) in Chapter 11B. Newly constructed covered multifamily dwellings, which can also be defined as public housing, shall be subject to the requirements of </w:t>
      </w:r>
      <w:r w:rsidRPr="002718E0">
        <w:rPr>
          <w:i/>
          <w:iCs/>
          <w:strike/>
        </w:rPr>
        <w:t>Chapter 11A and</w:t>
      </w:r>
      <w:r w:rsidRPr="002718E0">
        <w:rPr>
          <w:i/>
          <w:iCs/>
        </w:rPr>
        <w:t xml:space="preserve"> Chapter 11B.</w:t>
      </w:r>
    </w:p>
    <w:p w14:paraId="2FC1EA06" w14:textId="1F162DA8" w:rsidR="00820971" w:rsidRPr="001F2463" w:rsidRDefault="00820971" w:rsidP="001F2463">
      <w:pPr>
        <w:pStyle w:val="Heading4"/>
      </w:pPr>
      <w:r w:rsidRPr="001F2463">
        <w:lastRenderedPageBreak/>
        <w:t>Rationale:</w:t>
      </w:r>
    </w:p>
    <w:p w14:paraId="4106249E" w14:textId="77A3DD18" w:rsidR="004C16A6" w:rsidRDefault="00966978" w:rsidP="001F2463">
      <w:pPr>
        <w:widowControl/>
        <w:pBdr>
          <w:bottom w:val="single" w:sz="24" w:space="1" w:color="auto"/>
        </w:pBdr>
        <w:spacing w:before="120" w:after="240"/>
        <w:rPr>
          <w:rFonts w:cs="Arial"/>
        </w:rPr>
      </w:pPr>
      <w:r w:rsidRPr="243EDF57">
        <w:rPr>
          <w:rFonts w:cs="Arial"/>
        </w:rPr>
        <w:t>Section 1101A.1 currently requires that newly constructed covered multifamily dwellings, which can also be defined as public housing, are subject to the requirements of both Chapter 11A and Chapter 11B. Government Code</w:t>
      </w:r>
      <w:r w:rsidR="00720DFB">
        <w:rPr>
          <w:rFonts w:cs="Arial"/>
        </w:rPr>
        <w:t>,</w:t>
      </w:r>
      <w:r w:rsidRPr="243EDF57">
        <w:rPr>
          <w:rFonts w:cs="Arial"/>
        </w:rPr>
        <w:t xml:space="preserve"> </w:t>
      </w:r>
      <w:r w:rsidR="00720DFB">
        <w:rPr>
          <w:rFonts w:cs="Arial"/>
        </w:rPr>
        <w:t>s</w:t>
      </w:r>
      <w:r w:rsidRPr="243EDF57">
        <w:rPr>
          <w:rFonts w:cs="Arial"/>
        </w:rPr>
        <w:t>ection 12955.1</w:t>
      </w:r>
      <w:r w:rsidR="00720DFB">
        <w:rPr>
          <w:rFonts w:cs="Arial"/>
        </w:rPr>
        <w:t>,</w:t>
      </w:r>
      <w:r w:rsidRPr="243EDF57">
        <w:rPr>
          <w:rFonts w:cs="Arial"/>
        </w:rPr>
        <w:t xml:space="preserve"> provides direction for HCD to propose adoption of building standards necessary to prohibit discrimination in the design and construction of all housing other than publicly funded housing, and grants the Division of the State Architect the authority to promulgate regulations for public housing. Over the past code cycles, Chapter 11 B amendments included the scoping provisions consistent with Chapter 11A for covered multifamily dwellings. The Division of the State Architect (DSA) adopted the site impracticality test and technical requirements for accessible dwelling units with adaptable features in Chapter 11A. Adopting the 2019 Intervening Code Cycle Supplement, effective on July 1, 2021, separated Chapters 11A and 11B, providing the provisions for public housing wholly in Chapter 11B. A revised public housing definition in Chapter 2, in conjunction with the scoping and technical sections in Chapter 11B, meets the requirements of the Fair Housing Accessibility Guidelines and the 2010 Americans with Disabilities Act (ADA) Standards for Accessible Design</w:t>
      </w:r>
      <w:r w:rsidR="008742AE">
        <w:rPr>
          <w:rFonts w:cs="Arial"/>
        </w:rPr>
        <w:t>, respectively</w:t>
      </w:r>
      <w:r w:rsidRPr="243EDF57">
        <w:rPr>
          <w:rFonts w:cs="Arial"/>
        </w:rPr>
        <w:t>. The modification is for clarity only. There is no intended change in regulatory effect.</w:t>
      </w:r>
    </w:p>
    <w:p w14:paraId="2275FF98" w14:textId="77777777" w:rsidR="00E07590" w:rsidRDefault="00E07590" w:rsidP="00C15A2F">
      <w:pPr>
        <w:widowControl/>
        <w:pBdr>
          <w:bottom w:val="single" w:sz="24" w:space="1" w:color="auto"/>
        </w:pBdr>
        <w:spacing w:before="120"/>
        <w:rPr>
          <w:rFonts w:cs="Arial"/>
          <w:szCs w:val="24"/>
        </w:rPr>
      </w:pPr>
    </w:p>
    <w:p w14:paraId="357CA2A4" w14:textId="0E40F0AF" w:rsidR="00873295" w:rsidRPr="00AD67B3" w:rsidRDefault="00873295" w:rsidP="00873295">
      <w:pPr>
        <w:pStyle w:val="Heading3"/>
        <w:rPr>
          <w:noProof/>
          <w:highlight w:val="lightGray"/>
        </w:rPr>
      </w:pPr>
      <w:r w:rsidRPr="00AD67B3">
        <w:t xml:space="preserve">ITEM </w:t>
      </w:r>
      <w:r>
        <w:t>2</w:t>
      </w:r>
      <w:r>
        <w:br/>
      </w:r>
      <w:r w:rsidRPr="00AD67B3">
        <w:t xml:space="preserve">Chapter </w:t>
      </w:r>
      <w:r w:rsidRPr="02A7658F">
        <w:rPr>
          <w:rFonts w:eastAsia="Arial" w:cs="Arial"/>
        </w:rPr>
        <w:t>11A Housing Accessibility</w:t>
      </w:r>
      <w:r>
        <w:rPr>
          <w:rFonts w:eastAsia="Arial" w:cs="Arial"/>
        </w:rPr>
        <w:t xml:space="preserve">, </w:t>
      </w:r>
      <w:r w:rsidRPr="00AD67B3">
        <w:t xml:space="preserve">Section </w:t>
      </w:r>
      <w:r w:rsidRPr="02A7658F">
        <w:rPr>
          <w:i/>
          <w:iCs/>
        </w:rPr>
        <w:t>1101</w:t>
      </w:r>
      <w:r w:rsidR="007D4284">
        <w:rPr>
          <w:i/>
          <w:iCs/>
        </w:rPr>
        <w:t>A</w:t>
      </w:r>
      <w:r w:rsidRPr="02A7658F">
        <w:rPr>
          <w:i/>
          <w:iCs/>
        </w:rPr>
        <w:t>.1 Scope</w:t>
      </w:r>
    </w:p>
    <w:p w14:paraId="09783450" w14:textId="77777777" w:rsidR="00873295" w:rsidRPr="00B33C42" w:rsidRDefault="00873295" w:rsidP="00873295">
      <w:pPr>
        <w:rPr>
          <w:i/>
          <w:iCs/>
        </w:rPr>
      </w:pPr>
      <w:r w:rsidRPr="00B33C42">
        <w:rPr>
          <w:b/>
          <w:bCs/>
          <w:i/>
          <w:iCs/>
        </w:rPr>
        <w:t>1101A.1 Scope</w:t>
      </w:r>
      <w:r w:rsidRPr="00B33C42">
        <w:rPr>
          <w:i/>
          <w:iCs/>
        </w:rPr>
        <w:t>. The application and authority of this chapter are identified and referenced in Sections 1.8.2.1.2 and 1102A for the Department of Housing and Community Development. Applicable sections are identified in the Matrix Adoption Tables of this code under the abbreviation HCD 1-AC. The provisions of this chapter shall apply to the following:</w:t>
      </w:r>
    </w:p>
    <w:p w14:paraId="637BA685" w14:textId="77777777" w:rsidR="00873295" w:rsidRPr="00B33C42" w:rsidRDefault="00873295" w:rsidP="00D92728">
      <w:pPr>
        <w:pStyle w:val="ListParagraph"/>
        <w:numPr>
          <w:ilvl w:val="0"/>
          <w:numId w:val="22"/>
        </w:numPr>
        <w:rPr>
          <w:i/>
          <w:iCs/>
        </w:rPr>
      </w:pPr>
      <w:r w:rsidRPr="00B33C42">
        <w:rPr>
          <w:i/>
          <w:iCs/>
        </w:rPr>
        <w:t xml:space="preserve">All </w:t>
      </w:r>
      <w:proofErr w:type="gramStart"/>
      <w:r w:rsidRPr="00B33C42">
        <w:rPr>
          <w:i/>
          <w:iCs/>
        </w:rPr>
        <w:t>newly-constructed</w:t>
      </w:r>
      <w:proofErr w:type="gramEnd"/>
      <w:r w:rsidRPr="00B33C42">
        <w:rPr>
          <w:i/>
          <w:iCs/>
        </w:rPr>
        <w:t xml:space="preserve"> covered multifamily dwellings.</w:t>
      </w:r>
    </w:p>
    <w:p w14:paraId="19B024C5" w14:textId="77777777" w:rsidR="00873295" w:rsidRPr="00B33C42" w:rsidRDefault="00873295" w:rsidP="00D92728">
      <w:pPr>
        <w:pStyle w:val="ListParagraph"/>
        <w:numPr>
          <w:ilvl w:val="0"/>
          <w:numId w:val="22"/>
        </w:numPr>
        <w:rPr>
          <w:i/>
          <w:iCs/>
        </w:rPr>
      </w:pPr>
      <w:r w:rsidRPr="00B33C42">
        <w:rPr>
          <w:i/>
          <w:iCs/>
        </w:rPr>
        <w:t>New common use areas serving existing covered multifamily dwellings.</w:t>
      </w:r>
    </w:p>
    <w:p w14:paraId="157F54FD" w14:textId="77777777" w:rsidR="00873295" w:rsidRDefault="00873295" w:rsidP="00D92728">
      <w:pPr>
        <w:pStyle w:val="ListParagraph"/>
        <w:numPr>
          <w:ilvl w:val="0"/>
          <w:numId w:val="22"/>
        </w:numPr>
        <w:rPr>
          <w:i/>
          <w:iCs/>
        </w:rPr>
      </w:pPr>
      <w:r w:rsidRPr="00B33C42">
        <w:rPr>
          <w:i/>
          <w:iCs/>
        </w:rPr>
        <w:t>Additions to existing buildings, where the addition alone meets the definition of a covered multifamily dwelling.</w:t>
      </w:r>
    </w:p>
    <w:p w14:paraId="525BA47C" w14:textId="58961BAB" w:rsidR="000E6CA0" w:rsidRPr="0085694E" w:rsidRDefault="000E6CA0" w:rsidP="36D01144">
      <w:pPr>
        <w:pStyle w:val="ListParagraph"/>
        <w:numPr>
          <w:ilvl w:val="0"/>
          <w:numId w:val="22"/>
        </w:numPr>
        <w:rPr>
          <w:i/>
          <w:iCs/>
          <w:u w:val="single"/>
        </w:rPr>
      </w:pPr>
      <w:r w:rsidRPr="36D01144">
        <w:rPr>
          <w:i/>
          <w:iCs/>
          <w:u w:val="single"/>
        </w:rPr>
        <w:t>Additions to existing covered multifamily dwellings where the existing covered multifamily dwelling were built for first occupancy after March 13</w:t>
      </w:r>
      <w:r w:rsidR="190E10DB" w:rsidRPr="36D01144">
        <w:rPr>
          <w:i/>
          <w:iCs/>
          <w:u w:val="single"/>
        </w:rPr>
        <w:t xml:space="preserve">, </w:t>
      </w:r>
      <w:r w:rsidRPr="36D01144">
        <w:rPr>
          <w:i/>
          <w:iCs/>
          <w:u w:val="single"/>
        </w:rPr>
        <w:t>1991.</w:t>
      </w:r>
    </w:p>
    <w:p w14:paraId="50EC22F5" w14:textId="730E66ED" w:rsidR="00873295" w:rsidRPr="00B33C42" w:rsidRDefault="0012481C" w:rsidP="0085694E">
      <w:pPr>
        <w:pStyle w:val="ListParagraph"/>
        <w:numPr>
          <w:ilvl w:val="0"/>
          <w:numId w:val="24"/>
        </w:numPr>
        <w:rPr>
          <w:i/>
          <w:iCs/>
        </w:rPr>
      </w:pPr>
      <w:r w:rsidRPr="0012481C">
        <w:rPr>
          <w:i/>
          <w:iCs/>
          <w:u w:val="single"/>
        </w:rPr>
        <w:t>5.</w:t>
      </w:r>
      <w:r>
        <w:rPr>
          <w:i/>
          <w:iCs/>
        </w:rPr>
        <w:t xml:space="preserve"> </w:t>
      </w:r>
      <w:r w:rsidR="00873295" w:rsidRPr="00B33C42">
        <w:rPr>
          <w:i/>
          <w:iCs/>
        </w:rPr>
        <w:t>New common-use areas serving new covered multifamily dwellings.</w:t>
      </w:r>
    </w:p>
    <w:p w14:paraId="0E0601ED" w14:textId="5EAB5745" w:rsidR="00873295" w:rsidRPr="00B33C42" w:rsidRDefault="0012481C" w:rsidP="0085694E">
      <w:pPr>
        <w:pStyle w:val="ListParagraph"/>
        <w:numPr>
          <w:ilvl w:val="0"/>
          <w:numId w:val="24"/>
        </w:numPr>
        <w:rPr>
          <w:i/>
          <w:iCs/>
        </w:rPr>
      </w:pPr>
      <w:r w:rsidRPr="0012481C">
        <w:rPr>
          <w:i/>
          <w:iCs/>
          <w:u w:val="single"/>
        </w:rPr>
        <w:t>6.</w:t>
      </w:r>
      <w:r>
        <w:rPr>
          <w:i/>
          <w:iCs/>
        </w:rPr>
        <w:t xml:space="preserve"> </w:t>
      </w:r>
      <w:r w:rsidR="00873295" w:rsidRPr="00B33C42">
        <w:rPr>
          <w:i/>
          <w:iCs/>
        </w:rPr>
        <w:t xml:space="preserve">Where any portion of a building’s exterior is preserved, but the interior of the building is removed, including all structural portions of floors and ceilings, the building is considered a new building for determining the application of this chapter. </w:t>
      </w:r>
      <w:r w:rsidR="00873295" w:rsidRPr="007D6FEB">
        <w:rPr>
          <w:rFonts w:cs="Arial"/>
          <w:szCs w:val="24"/>
        </w:rPr>
        <w:t>(No change to existing California amendment.</w:t>
      </w:r>
      <w:r w:rsidR="0055785B">
        <w:rPr>
          <w:rFonts w:cs="Arial"/>
          <w:szCs w:val="24"/>
        </w:rPr>
        <w:t>)</w:t>
      </w:r>
    </w:p>
    <w:p w14:paraId="17848A50" w14:textId="7FC0B615" w:rsidR="00873295" w:rsidRPr="00B33C42" w:rsidRDefault="00D83D0B" w:rsidP="001F2463">
      <w:pPr>
        <w:spacing w:after="480"/>
        <w:rPr>
          <w:i/>
          <w:iCs/>
        </w:rPr>
      </w:pPr>
      <w:r>
        <w:rPr>
          <w:i/>
          <w:iCs/>
        </w:rPr>
        <w:t>(…)</w:t>
      </w:r>
      <w:r w:rsidR="00F35194">
        <w:rPr>
          <w:i/>
          <w:iCs/>
        </w:rPr>
        <w:t xml:space="preserve"> </w:t>
      </w:r>
      <w:r w:rsidRPr="007D6FEB">
        <w:rPr>
          <w:rFonts w:cs="Arial"/>
          <w:szCs w:val="24"/>
        </w:rPr>
        <w:t>(No change to existing California amendment.)</w:t>
      </w:r>
    </w:p>
    <w:p w14:paraId="4A291573" w14:textId="76002CB9" w:rsidR="00FD2133" w:rsidRPr="00820971" w:rsidRDefault="00FD2133" w:rsidP="001F2463">
      <w:pPr>
        <w:pStyle w:val="Heading4"/>
      </w:pPr>
      <w:r>
        <w:t>Rationale:</w:t>
      </w:r>
    </w:p>
    <w:p w14:paraId="35A89C3B" w14:textId="01EB559A" w:rsidR="00FD2133" w:rsidRDefault="00966978" w:rsidP="001F2463">
      <w:pPr>
        <w:spacing w:before="120" w:after="240"/>
        <w:rPr>
          <w:rFonts w:cs="Arial"/>
          <w:b/>
        </w:rPr>
      </w:pPr>
      <w:r w:rsidRPr="001D6751">
        <w:rPr>
          <w:rFonts w:cs="Arial"/>
          <w:szCs w:val="24"/>
        </w:rPr>
        <w:t xml:space="preserve">HCD proposes to add a new item as item number four to clarify that additions to covered multifamily dwellings need to comply with Chapter 11A. Item three requires additions to existing buildings, where the addition alone meets the definition of a covered multifamily dwelling, to comply with Chapter 11A. </w:t>
      </w:r>
      <w:r w:rsidR="008742AE">
        <w:rPr>
          <w:rFonts w:cs="Arial"/>
          <w:szCs w:val="24"/>
        </w:rPr>
        <w:t>Clarity is</w:t>
      </w:r>
      <w:r w:rsidR="00E3745F">
        <w:rPr>
          <w:rFonts w:cs="Arial"/>
          <w:szCs w:val="24"/>
        </w:rPr>
        <w:t xml:space="preserve"> need</w:t>
      </w:r>
      <w:r w:rsidRPr="001D6751">
        <w:rPr>
          <w:rFonts w:cs="Arial"/>
          <w:szCs w:val="24"/>
        </w:rPr>
        <w:t xml:space="preserve"> as to whether or not an addition of only two units to a building that already contained covered multifamily dwelling</w:t>
      </w:r>
      <w:r w:rsidR="00E3745F">
        <w:rPr>
          <w:rFonts w:cs="Arial"/>
          <w:szCs w:val="24"/>
        </w:rPr>
        <w:t xml:space="preserve"> units</w:t>
      </w:r>
      <w:r w:rsidRPr="001D6751">
        <w:rPr>
          <w:rFonts w:cs="Arial"/>
          <w:szCs w:val="24"/>
        </w:rPr>
        <w:t xml:space="preserve"> would need to comply with Chapter 11A, as applicable. </w:t>
      </w:r>
      <w:r w:rsidR="00E3745F">
        <w:rPr>
          <w:rFonts w:cs="Arial"/>
          <w:szCs w:val="24"/>
        </w:rPr>
        <w:t>N</w:t>
      </w:r>
      <w:r w:rsidRPr="001D6751">
        <w:rPr>
          <w:rFonts w:cs="Arial"/>
          <w:szCs w:val="24"/>
        </w:rPr>
        <w:t xml:space="preserve">ew </w:t>
      </w:r>
      <w:r w:rsidRPr="001D6751">
        <w:rPr>
          <w:rFonts w:cs="Arial"/>
          <w:szCs w:val="24"/>
        </w:rPr>
        <w:lastRenderedPageBreak/>
        <w:t>item four clarifies that an addition of one or two dwelling units to an existing building that is a covered multifamily dwelling (a building built after March 13, 1991) would need to comply with Chapter 11A. The modification is for clarity only. There is no intended change in regulatory effect. Existing items four and five have been renumbered to accommodate the new item.</w:t>
      </w:r>
    </w:p>
    <w:p w14:paraId="7193BA08" w14:textId="77777777" w:rsidR="0097309B" w:rsidRDefault="0097309B" w:rsidP="0097309B">
      <w:pPr>
        <w:widowControl/>
        <w:pBdr>
          <w:bottom w:val="single" w:sz="24" w:space="1" w:color="auto"/>
        </w:pBdr>
        <w:spacing w:before="120"/>
        <w:rPr>
          <w:rFonts w:cs="Arial"/>
          <w:szCs w:val="24"/>
        </w:rPr>
      </w:pPr>
    </w:p>
    <w:p w14:paraId="4B54ADE1" w14:textId="22E058FC" w:rsidR="0097309B" w:rsidRPr="00AD67B3" w:rsidRDefault="0097309B" w:rsidP="0097309B">
      <w:pPr>
        <w:pStyle w:val="Heading3"/>
        <w:rPr>
          <w:noProof/>
          <w:highlight w:val="lightGray"/>
        </w:rPr>
      </w:pPr>
      <w:r w:rsidRPr="00AD67B3">
        <w:t xml:space="preserve">ITEM </w:t>
      </w:r>
      <w:r>
        <w:t>3</w:t>
      </w:r>
      <w:r>
        <w:br/>
      </w:r>
      <w:r w:rsidRPr="00AD67B3">
        <w:t xml:space="preserve">Chapter </w:t>
      </w:r>
      <w:r w:rsidRPr="02A7658F">
        <w:rPr>
          <w:rFonts w:eastAsia="Arial" w:cs="Arial"/>
        </w:rPr>
        <w:t>11A Housing Accessibility</w:t>
      </w:r>
      <w:r>
        <w:rPr>
          <w:rFonts w:eastAsia="Arial" w:cs="Arial"/>
        </w:rPr>
        <w:t xml:space="preserve">, </w:t>
      </w:r>
      <w:r w:rsidRPr="00AD67B3">
        <w:t xml:space="preserve">Section </w:t>
      </w:r>
      <w:r w:rsidRPr="02A7658F">
        <w:rPr>
          <w:i/>
          <w:iCs/>
        </w:rPr>
        <w:t>110</w:t>
      </w:r>
      <w:r w:rsidR="007D4284">
        <w:rPr>
          <w:i/>
          <w:iCs/>
        </w:rPr>
        <w:t>9</w:t>
      </w:r>
      <w:r w:rsidR="00C135E2">
        <w:rPr>
          <w:i/>
          <w:iCs/>
        </w:rPr>
        <w:t>A</w:t>
      </w:r>
      <w:r w:rsidRPr="02A7658F">
        <w:rPr>
          <w:i/>
          <w:iCs/>
        </w:rPr>
        <w:t>.</w:t>
      </w:r>
      <w:r w:rsidR="00C135E2">
        <w:rPr>
          <w:i/>
          <w:iCs/>
        </w:rPr>
        <w:t>2</w:t>
      </w:r>
      <w:r w:rsidRPr="02A7658F">
        <w:rPr>
          <w:i/>
          <w:iCs/>
        </w:rPr>
        <w:t xml:space="preserve"> </w:t>
      </w:r>
      <w:r w:rsidR="00C135E2">
        <w:rPr>
          <w:i/>
          <w:iCs/>
        </w:rPr>
        <w:t>Parking Facilities</w:t>
      </w:r>
    </w:p>
    <w:p w14:paraId="6B5CEF41" w14:textId="28AF5DA0" w:rsidR="00333EDF" w:rsidRPr="00333EDF" w:rsidRDefault="0097309B" w:rsidP="00333EDF">
      <w:pPr>
        <w:rPr>
          <w:i/>
          <w:iCs/>
        </w:rPr>
      </w:pPr>
      <w:r w:rsidRPr="00AD5FF5">
        <w:rPr>
          <w:b/>
          <w:bCs/>
          <w:i/>
          <w:iCs/>
        </w:rPr>
        <w:t>110</w:t>
      </w:r>
      <w:r w:rsidR="00333EDF" w:rsidRPr="00AD5FF5">
        <w:rPr>
          <w:b/>
          <w:bCs/>
          <w:i/>
          <w:iCs/>
        </w:rPr>
        <w:t>9A.2 Parking facilities</w:t>
      </w:r>
      <w:r w:rsidR="00333EDF" w:rsidRPr="00333EDF">
        <w:rPr>
          <w:i/>
          <w:iCs/>
        </w:rPr>
        <w:t>. Parking facilities shall include,</w:t>
      </w:r>
      <w:r w:rsidR="00AD5FF5">
        <w:rPr>
          <w:i/>
          <w:iCs/>
        </w:rPr>
        <w:t xml:space="preserve"> </w:t>
      </w:r>
      <w:r w:rsidR="00333EDF" w:rsidRPr="00333EDF">
        <w:rPr>
          <w:i/>
          <w:iCs/>
        </w:rPr>
        <w:t>but not be limited to, the following:</w:t>
      </w:r>
    </w:p>
    <w:p w14:paraId="675385CD" w14:textId="475684F0" w:rsidR="00333EDF" w:rsidRPr="00813645" w:rsidRDefault="00333EDF" w:rsidP="00813645">
      <w:pPr>
        <w:pStyle w:val="ListParagraph"/>
        <w:numPr>
          <w:ilvl w:val="0"/>
          <w:numId w:val="26"/>
        </w:numPr>
        <w:rPr>
          <w:i/>
          <w:iCs/>
        </w:rPr>
      </w:pPr>
      <w:r w:rsidRPr="00813645">
        <w:rPr>
          <w:i/>
          <w:iCs/>
        </w:rPr>
        <w:t>Garages</w:t>
      </w:r>
    </w:p>
    <w:p w14:paraId="0A40E69D" w14:textId="0704B487" w:rsidR="00333EDF" w:rsidRPr="00813645" w:rsidRDefault="00333EDF" w:rsidP="00813645">
      <w:pPr>
        <w:pStyle w:val="ListParagraph"/>
        <w:numPr>
          <w:ilvl w:val="0"/>
          <w:numId w:val="26"/>
        </w:numPr>
        <w:rPr>
          <w:i/>
          <w:iCs/>
        </w:rPr>
      </w:pPr>
      <w:r w:rsidRPr="00813645">
        <w:rPr>
          <w:i/>
          <w:iCs/>
        </w:rPr>
        <w:t>Private garages</w:t>
      </w:r>
    </w:p>
    <w:p w14:paraId="76DBC00A" w14:textId="6B688E53" w:rsidR="00333EDF" w:rsidRPr="00813645" w:rsidRDefault="00333EDF" w:rsidP="00813645">
      <w:pPr>
        <w:pStyle w:val="ListParagraph"/>
        <w:numPr>
          <w:ilvl w:val="0"/>
          <w:numId w:val="26"/>
        </w:numPr>
        <w:rPr>
          <w:i/>
          <w:iCs/>
        </w:rPr>
      </w:pPr>
      <w:r w:rsidRPr="00813645">
        <w:rPr>
          <w:i/>
          <w:iCs/>
        </w:rPr>
        <w:t>Carports</w:t>
      </w:r>
    </w:p>
    <w:p w14:paraId="6C4EB31B" w14:textId="77777777" w:rsidR="00813645" w:rsidRDefault="00333EDF" w:rsidP="00813645">
      <w:pPr>
        <w:pStyle w:val="ListParagraph"/>
        <w:numPr>
          <w:ilvl w:val="0"/>
          <w:numId w:val="26"/>
        </w:numPr>
        <w:rPr>
          <w:i/>
          <w:iCs/>
        </w:rPr>
      </w:pPr>
      <w:r w:rsidRPr="00813645">
        <w:rPr>
          <w:i/>
          <w:iCs/>
        </w:rPr>
        <w:t>Off-street parking (parking lots/spaces)</w:t>
      </w:r>
    </w:p>
    <w:p w14:paraId="7F9D631C" w14:textId="755C14C9" w:rsidR="00813645" w:rsidRPr="004C5576" w:rsidRDefault="004C5576" w:rsidP="001F2463">
      <w:pPr>
        <w:pStyle w:val="ListParagraph"/>
        <w:numPr>
          <w:ilvl w:val="0"/>
          <w:numId w:val="26"/>
        </w:numPr>
        <w:spacing w:after="480"/>
        <w:rPr>
          <w:i/>
          <w:iCs/>
          <w:u w:val="single"/>
        </w:rPr>
      </w:pPr>
      <w:r w:rsidRPr="004C5576">
        <w:rPr>
          <w:i/>
          <w:iCs/>
          <w:u w:val="single"/>
        </w:rPr>
        <w:t>Electrical Vehicle (EV) (parking lots/spaces)</w:t>
      </w:r>
    </w:p>
    <w:p w14:paraId="4EEF9D72" w14:textId="269ABA2A" w:rsidR="00FD2133" w:rsidRPr="00820971" w:rsidRDefault="00FD2133" w:rsidP="001F2463">
      <w:pPr>
        <w:pStyle w:val="Heading4"/>
      </w:pPr>
      <w:r>
        <w:t>Rationale:</w:t>
      </w:r>
    </w:p>
    <w:p w14:paraId="0F129C03" w14:textId="283DF44E" w:rsidR="00A30981" w:rsidRDefault="00966978" w:rsidP="001F2463">
      <w:pPr>
        <w:widowControl/>
        <w:pBdr>
          <w:bottom w:val="single" w:sz="24" w:space="1" w:color="auto"/>
        </w:pBdr>
        <w:spacing w:before="120" w:after="240"/>
        <w:rPr>
          <w:rFonts w:cs="Arial"/>
        </w:rPr>
      </w:pPr>
      <w:r w:rsidRPr="243EDF57">
        <w:rPr>
          <w:rFonts w:cs="Arial"/>
        </w:rPr>
        <w:t xml:space="preserve">HCD proposes to modify the above referenced existing California amendment. HCD proposes to add the “electrical vehicle” as a new parking type. Some confusion was expressed by both enforcement and design professionals </w:t>
      </w:r>
      <w:proofErr w:type="gramStart"/>
      <w:r w:rsidRPr="243EDF57">
        <w:rPr>
          <w:rFonts w:cs="Arial"/>
        </w:rPr>
        <w:t>with regard to</w:t>
      </w:r>
      <w:proofErr w:type="gramEnd"/>
      <w:r w:rsidRPr="243EDF57">
        <w:rPr>
          <w:rFonts w:cs="Arial"/>
        </w:rPr>
        <w:t xml:space="preserve"> the accessibility requirements for electrical vehicle (EV) parking spaces. Since EV charging in parking is a separate service provided, </w:t>
      </w:r>
      <w:proofErr w:type="gramStart"/>
      <w:r w:rsidRPr="243EDF57">
        <w:rPr>
          <w:rFonts w:cs="Arial"/>
        </w:rPr>
        <w:t>similar to</w:t>
      </w:r>
      <w:proofErr w:type="gramEnd"/>
      <w:r w:rsidRPr="243EDF57">
        <w:rPr>
          <w:rFonts w:cs="Arial"/>
        </w:rPr>
        <w:t xml:space="preserve"> garage parking or street parking, by adding it as a type of parking it will clarify the location and accessibility requirements. Chapter 11A of the California Building Code requires at least two percent of the assigned parking spaces serving covered multifamily dwelling units to be accessible in each type of parking facility. The existing language also further clarifies that at least one space of each type of parking facility shall be made accessible even if the total number exceeds two percent. For comparison, the Fair Housing Act (FHA) Design Manual requires 2 percent of the parking spaces to be accessible, with at least one space of each type. Parking requirements are determined by local governments and some housing developments may have very limited parking or no parking at all. Therefore, where parking is required by the local government for a covered multifamily building, 2 percent of each type of “electrical vehicle parking space", (EV covered, EV open parking, EV Garages, EV Off-street parking …etc.) would be required to be accessible. There is no intended change in regulatory effect</w:t>
      </w:r>
      <w:r>
        <w:rPr>
          <w:rFonts w:cs="Arial"/>
        </w:rPr>
        <w:t>.</w:t>
      </w:r>
    </w:p>
    <w:p w14:paraId="54F1A401" w14:textId="77777777" w:rsidR="00E07590" w:rsidRPr="00966978" w:rsidRDefault="00E07590" w:rsidP="00A30981">
      <w:pPr>
        <w:widowControl/>
        <w:pBdr>
          <w:bottom w:val="single" w:sz="24" w:space="1" w:color="auto"/>
        </w:pBdr>
        <w:spacing w:before="120"/>
        <w:rPr>
          <w:rFonts w:cs="Arial"/>
          <w:szCs w:val="24"/>
        </w:rPr>
      </w:pPr>
    </w:p>
    <w:p w14:paraId="57F7E2C0" w14:textId="117DF47E" w:rsidR="00A30981" w:rsidRPr="00AD67B3" w:rsidRDefault="00A30981" w:rsidP="00A30981">
      <w:pPr>
        <w:pStyle w:val="Heading3"/>
        <w:rPr>
          <w:noProof/>
          <w:highlight w:val="lightGray"/>
        </w:rPr>
      </w:pPr>
      <w:r w:rsidRPr="00AD67B3">
        <w:t xml:space="preserve">ITEM </w:t>
      </w:r>
      <w:r w:rsidR="00A653B3">
        <w:t>4</w:t>
      </w:r>
      <w:r>
        <w:br/>
      </w:r>
      <w:r w:rsidRPr="00AD67B3">
        <w:t xml:space="preserve">Chapter </w:t>
      </w:r>
      <w:r w:rsidRPr="02A7658F">
        <w:rPr>
          <w:rFonts w:eastAsia="Arial" w:cs="Arial"/>
        </w:rPr>
        <w:t>11A Housing Accessibility</w:t>
      </w:r>
      <w:r>
        <w:rPr>
          <w:rFonts w:eastAsia="Arial" w:cs="Arial"/>
        </w:rPr>
        <w:t xml:space="preserve">, </w:t>
      </w:r>
      <w:r w:rsidRPr="00AD67B3">
        <w:t xml:space="preserve">Section </w:t>
      </w:r>
      <w:r w:rsidR="003A69DA" w:rsidRPr="003A69DA">
        <w:rPr>
          <w:i/>
          <w:iCs/>
        </w:rPr>
        <w:t>1115A.6 Exterior stairway handrails</w:t>
      </w:r>
      <w:r w:rsidR="00F43034">
        <w:rPr>
          <w:i/>
          <w:iCs/>
        </w:rPr>
        <w:t xml:space="preserve">, </w:t>
      </w:r>
    </w:p>
    <w:p w14:paraId="2F17E95C" w14:textId="77777777" w:rsidR="00E31670" w:rsidRDefault="00E31670" w:rsidP="00E31670">
      <w:pPr>
        <w:rPr>
          <w:b/>
          <w:bCs/>
          <w:i/>
          <w:iCs/>
        </w:rPr>
      </w:pPr>
      <w:r w:rsidRPr="00E31670">
        <w:rPr>
          <w:b/>
          <w:bCs/>
          <w:i/>
          <w:iCs/>
        </w:rPr>
        <w:t>1115A.6 Exterior stairway handrails.</w:t>
      </w:r>
    </w:p>
    <w:p w14:paraId="791B20BE" w14:textId="4403D251" w:rsidR="00E31670" w:rsidRPr="00E31670" w:rsidRDefault="00E31670" w:rsidP="00416B5C">
      <w:pPr>
        <w:ind w:left="720"/>
        <w:rPr>
          <w:b/>
          <w:bCs/>
          <w:i/>
          <w:iCs/>
        </w:rPr>
      </w:pPr>
      <w:r w:rsidRPr="00E31670">
        <w:rPr>
          <w:b/>
          <w:bCs/>
          <w:i/>
          <w:iCs/>
        </w:rPr>
        <w:t xml:space="preserve">1115A.6.1 Where required. </w:t>
      </w:r>
      <w:r w:rsidRPr="00416B5C">
        <w:rPr>
          <w:i/>
          <w:iCs/>
        </w:rPr>
        <w:t xml:space="preserve">Stairways shall have handrails on each side. </w:t>
      </w:r>
      <w:r w:rsidR="0055785B" w:rsidRPr="00416B5C">
        <w:rPr>
          <w:i/>
          <w:iCs/>
        </w:rPr>
        <w:t>I</w:t>
      </w:r>
      <w:r w:rsidRPr="00416B5C">
        <w:rPr>
          <w:i/>
          <w:iCs/>
        </w:rPr>
        <w:t>ntermediate handrails shall be located</w:t>
      </w:r>
      <w:r w:rsidR="0055785B" w:rsidRPr="00416B5C">
        <w:rPr>
          <w:i/>
          <w:iCs/>
        </w:rPr>
        <w:t xml:space="preserve"> </w:t>
      </w:r>
      <w:r w:rsidRPr="00416B5C">
        <w:rPr>
          <w:i/>
          <w:iCs/>
        </w:rPr>
        <w:t>equidistant from the sides of the stairway and comply with</w:t>
      </w:r>
      <w:r w:rsidR="0055785B" w:rsidRPr="00416B5C">
        <w:rPr>
          <w:i/>
          <w:iCs/>
        </w:rPr>
        <w:t xml:space="preserve"> </w:t>
      </w:r>
      <w:r w:rsidRPr="00D707C7">
        <w:rPr>
          <w:i/>
          <w:iCs/>
        </w:rPr>
        <w:t>Section</w:t>
      </w:r>
      <w:r w:rsidRPr="006D6B99">
        <w:rPr>
          <w:i/>
          <w:iCs/>
          <w:strike/>
        </w:rPr>
        <w:t xml:space="preserve"> 1012.9</w:t>
      </w:r>
      <w:r w:rsidR="006D6B99">
        <w:rPr>
          <w:i/>
          <w:iCs/>
        </w:rPr>
        <w:t xml:space="preserve"> </w:t>
      </w:r>
      <w:r w:rsidR="00D707C7" w:rsidRPr="00D707C7">
        <w:rPr>
          <w:i/>
          <w:iCs/>
          <w:u w:val="single"/>
        </w:rPr>
        <w:t>1014.9</w:t>
      </w:r>
      <w:r w:rsidR="006D6B99">
        <w:rPr>
          <w:i/>
          <w:iCs/>
        </w:rPr>
        <w:t>.</w:t>
      </w:r>
    </w:p>
    <w:p w14:paraId="0708A45D" w14:textId="5E0C2F57" w:rsidR="00F43034" w:rsidRDefault="00E31670" w:rsidP="001F2463">
      <w:pPr>
        <w:spacing w:after="480"/>
        <w:ind w:left="1440"/>
      </w:pPr>
      <w:r w:rsidRPr="00E31670">
        <w:rPr>
          <w:b/>
          <w:bCs/>
          <w:i/>
          <w:iCs/>
        </w:rPr>
        <w:t>Exception:</w:t>
      </w:r>
      <w:r w:rsidR="00416B5C" w:rsidRPr="00416B5C">
        <w:t xml:space="preserve"> (…)</w:t>
      </w:r>
      <w:r w:rsidR="00416B5C" w:rsidRPr="00416B5C">
        <w:rPr>
          <w:b/>
          <w:bCs/>
          <w:i/>
          <w:iCs/>
        </w:rPr>
        <w:t xml:space="preserve"> </w:t>
      </w:r>
      <w:r w:rsidR="00416B5C" w:rsidRPr="00416B5C">
        <w:t xml:space="preserve">(No change to existing </w:t>
      </w:r>
      <w:r w:rsidR="002856CF">
        <w:t>exception</w:t>
      </w:r>
      <w:r w:rsidR="00416B5C" w:rsidRPr="00416B5C">
        <w:t>.)</w:t>
      </w:r>
    </w:p>
    <w:p w14:paraId="770C4F0D" w14:textId="58919A14" w:rsidR="00FD2133" w:rsidRPr="00820971" w:rsidRDefault="00FD2133" w:rsidP="001F2463">
      <w:pPr>
        <w:pStyle w:val="Heading4"/>
      </w:pPr>
      <w:r>
        <w:lastRenderedPageBreak/>
        <w:t>Rationale:</w:t>
      </w:r>
    </w:p>
    <w:p w14:paraId="0F9D1933" w14:textId="77777777" w:rsidR="00E3745F" w:rsidRPr="00E3745F" w:rsidRDefault="00966978" w:rsidP="001F2463">
      <w:pPr>
        <w:spacing w:after="240"/>
        <w:rPr>
          <w:rFonts w:cs="Arial"/>
        </w:rPr>
      </w:pPr>
      <w:r w:rsidRPr="006C1E3D">
        <w:rPr>
          <w:rFonts w:cs="Arial"/>
        </w:rPr>
        <w:t>During</w:t>
      </w:r>
      <w:r>
        <w:rPr>
          <w:rFonts w:cs="Arial"/>
        </w:rPr>
        <w:t xml:space="preserve"> the</w:t>
      </w:r>
      <w:r w:rsidRPr="006C1E3D">
        <w:rPr>
          <w:rFonts w:cs="Arial"/>
        </w:rPr>
        <w:t xml:space="preserve"> </w:t>
      </w:r>
      <w:r w:rsidRPr="00EF52A7">
        <w:rPr>
          <w:rFonts w:cs="Arial"/>
        </w:rPr>
        <w:t xml:space="preserve">2015 Triennial Code Adoption Cycle, </w:t>
      </w:r>
      <w:r>
        <w:rPr>
          <w:rFonts w:cs="Arial"/>
        </w:rPr>
        <w:t>section</w:t>
      </w:r>
      <w:r w:rsidRPr="00EF52A7">
        <w:rPr>
          <w:rFonts w:cs="Arial"/>
        </w:rPr>
        <w:t xml:space="preserve"> 10</w:t>
      </w:r>
      <w:r>
        <w:rPr>
          <w:rFonts w:cs="Arial"/>
        </w:rPr>
        <w:t>12</w:t>
      </w:r>
      <w:r w:rsidR="00E3745F">
        <w:rPr>
          <w:rFonts w:cs="Arial"/>
        </w:rPr>
        <w:t>,</w:t>
      </w:r>
      <w:r w:rsidRPr="00EF52A7">
        <w:rPr>
          <w:rFonts w:cs="Arial"/>
        </w:rPr>
        <w:t xml:space="preserve"> </w:t>
      </w:r>
      <w:r>
        <w:rPr>
          <w:rFonts w:cs="Arial"/>
        </w:rPr>
        <w:t>was</w:t>
      </w:r>
      <w:r w:rsidRPr="00EF52A7">
        <w:rPr>
          <w:rFonts w:cs="Arial"/>
        </w:rPr>
        <w:t xml:space="preserve"> re</w:t>
      </w:r>
      <w:r>
        <w:rPr>
          <w:rFonts w:cs="Arial"/>
        </w:rPr>
        <w:t>numbered</w:t>
      </w:r>
      <w:r w:rsidRPr="00EF52A7">
        <w:rPr>
          <w:rFonts w:cs="Arial"/>
        </w:rPr>
        <w:t xml:space="preserve"> to align with the changes made to section numbers in the </w:t>
      </w:r>
      <w:r w:rsidR="00E3745F" w:rsidRPr="243EDF57">
        <w:rPr>
          <w:rFonts w:cs="Arial"/>
        </w:rPr>
        <w:t>International Building Code (</w:t>
      </w:r>
      <w:r w:rsidR="00E3745F">
        <w:rPr>
          <w:rFonts w:cs="Arial"/>
        </w:rPr>
        <w:t>IBC</w:t>
      </w:r>
      <w:r w:rsidR="00E3745F" w:rsidRPr="243EDF57">
        <w:rPr>
          <w:rFonts w:cs="Arial"/>
        </w:rPr>
        <w:t>)</w:t>
      </w:r>
      <w:r w:rsidRPr="00EF52A7">
        <w:rPr>
          <w:rFonts w:cs="Arial"/>
        </w:rPr>
        <w:t xml:space="preserve">. However, the reference in </w:t>
      </w:r>
      <w:r w:rsidR="00E3745F">
        <w:rPr>
          <w:rFonts w:cs="Arial"/>
        </w:rPr>
        <w:t>c</w:t>
      </w:r>
      <w:r w:rsidRPr="00EF52A7">
        <w:rPr>
          <w:rFonts w:cs="Arial"/>
        </w:rPr>
        <w:t>hapter 11A</w:t>
      </w:r>
      <w:r>
        <w:rPr>
          <w:rFonts w:cs="Arial"/>
        </w:rPr>
        <w:t>,</w:t>
      </w:r>
      <w:r w:rsidRPr="00EF52A7">
        <w:rPr>
          <w:rFonts w:cs="Arial"/>
        </w:rPr>
        <w:t xml:space="preserve"> </w:t>
      </w:r>
      <w:r w:rsidR="00E3745F">
        <w:rPr>
          <w:rFonts w:cs="Arial"/>
        </w:rPr>
        <w:t>s</w:t>
      </w:r>
      <w:r w:rsidRPr="00EF52A7">
        <w:rPr>
          <w:rFonts w:cs="Arial"/>
        </w:rPr>
        <w:t>ection 11</w:t>
      </w:r>
      <w:r>
        <w:rPr>
          <w:rFonts w:cs="Arial"/>
        </w:rPr>
        <w:t>15</w:t>
      </w:r>
      <w:r w:rsidRPr="00EF52A7">
        <w:rPr>
          <w:rFonts w:cs="Arial"/>
        </w:rPr>
        <w:t>A</w:t>
      </w:r>
      <w:r>
        <w:rPr>
          <w:rFonts w:cs="Arial"/>
        </w:rPr>
        <w:t>.6</w:t>
      </w:r>
      <w:r w:rsidR="00E3745F">
        <w:rPr>
          <w:rFonts w:cs="Arial"/>
        </w:rPr>
        <w:t>,</w:t>
      </w:r>
      <w:r w:rsidRPr="00EF52A7">
        <w:rPr>
          <w:rFonts w:cs="Arial"/>
        </w:rPr>
        <w:t xml:space="preserve"> </w:t>
      </w:r>
      <w:r>
        <w:rPr>
          <w:rFonts w:cs="Arial"/>
        </w:rPr>
        <w:t xml:space="preserve">to </w:t>
      </w:r>
      <w:r w:rsidR="00E3745F">
        <w:rPr>
          <w:rFonts w:cs="Arial"/>
        </w:rPr>
        <w:t>s</w:t>
      </w:r>
      <w:r>
        <w:rPr>
          <w:rFonts w:cs="Arial"/>
        </w:rPr>
        <w:t xml:space="preserve">ection 1012.9 </w:t>
      </w:r>
      <w:r w:rsidRPr="00EF52A7">
        <w:rPr>
          <w:rFonts w:cs="Arial"/>
        </w:rPr>
        <w:t xml:space="preserve">was </w:t>
      </w:r>
      <w:r>
        <w:rPr>
          <w:rFonts w:cs="Arial"/>
        </w:rPr>
        <w:t xml:space="preserve">inadvertently left in and </w:t>
      </w:r>
      <w:r w:rsidR="00E3745F">
        <w:rPr>
          <w:rFonts w:cs="Arial"/>
        </w:rPr>
        <w:t>which is now s</w:t>
      </w:r>
      <w:r>
        <w:rPr>
          <w:rFonts w:cs="Arial"/>
        </w:rPr>
        <w:t>ection 1014.9</w:t>
      </w:r>
      <w:r w:rsidR="00E3745F">
        <w:rPr>
          <w:rFonts w:cs="Arial"/>
        </w:rPr>
        <w:t>.</w:t>
      </w:r>
      <w:r>
        <w:rPr>
          <w:rFonts w:cs="Arial"/>
        </w:rPr>
        <w:t xml:space="preserve"> </w:t>
      </w:r>
      <w:r w:rsidR="00E3745F">
        <w:rPr>
          <w:rFonts w:cs="Arial"/>
        </w:rPr>
        <w:t>This is editorial and t</w:t>
      </w:r>
      <w:r w:rsidR="00E3745F" w:rsidRPr="006C1E3D">
        <w:rPr>
          <w:rFonts w:cs="Arial"/>
        </w:rPr>
        <w:t xml:space="preserve">here is no intended change in regulatory </w:t>
      </w:r>
      <w:r w:rsidR="00E3745F" w:rsidRPr="00003CF9">
        <w:rPr>
          <w:rFonts w:cs="Arial"/>
          <w:szCs w:val="24"/>
        </w:rPr>
        <w:t>effect</w:t>
      </w:r>
      <w:r w:rsidR="00E3745F">
        <w:rPr>
          <w:rFonts w:cs="Arial"/>
          <w:szCs w:val="24"/>
        </w:rPr>
        <w:t>.</w:t>
      </w:r>
    </w:p>
    <w:p w14:paraId="582DD7FC" w14:textId="77777777" w:rsidR="00AC7F1D" w:rsidRDefault="00AC7F1D" w:rsidP="00AC7F1D">
      <w:pPr>
        <w:widowControl/>
        <w:pBdr>
          <w:bottom w:val="single" w:sz="24" w:space="1" w:color="auto"/>
        </w:pBdr>
        <w:spacing w:before="120"/>
        <w:rPr>
          <w:rFonts w:cs="Arial"/>
          <w:szCs w:val="24"/>
        </w:rPr>
      </w:pPr>
    </w:p>
    <w:p w14:paraId="71C3B0F7" w14:textId="28367572" w:rsidR="00AC7F1D" w:rsidRPr="00AD67B3" w:rsidRDefault="00AC7F1D" w:rsidP="00AC7F1D">
      <w:pPr>
        <w:pStyle w:val="Heading3"/>
        <w:rPr>
          <w:noProof/>
          <w:highlight w:val="lightGray"/>
        </w:rPr>
      </w:pPr>
      <w:r w:rsidRPr="00AD67B3">
        <w:t xml:space="preserve">ITEM </w:t>
      </w:r>
      <w:r w:rsidR="00D707C7">
        <w:t>5</w:t>
      </w:r>
      <w:r>
        <w:br/>
      </w:r>
      <w:r w:rsidRPr="00AD67B3">
        <w:t xml:space="preserve">Chapter </w:t>
      </w:r>
      <w:r w:rsidRPr="02A7658F">
        <w:rPr>
          <w:rFonts w:eastAsia="Arial" w:cs="Arial"/>
        </w:rPr>
        <w:t>11A Housing Accessibility</w:t>
      </w:r>
      <w:r>
        <w:rPr>
          <w:rFonts w:eastAsia="Arial" w:cs="Arial"/>
        </w:rPr>
        <w:t xml:space="preserve">, </w:t>
      </w:r>
      <w:r w:rsidRPr="00AD67B3">
        <w:t xml:space="preserve">Section </w:t>
      </w:r>
      <w:r w:rsidRPr="005B14FF">
        <w:rPr>
          <w:i/>
          <w:iCs/>
        </w:rPr>
        <w:t>1116A.1 Warning curbs</w:t>
      </w:r>
      <w:r w:rsidRPr="00FC42E4">
        <w:rPr>
          <w:i/>
          <w:iCs/>
        </w:rPr>
        <w:t>.</w:t>
      </w:r>
    </w:p>
    <w:p w14:paraId="2443ACC2" w14:textId="77777777" w:rsidR="00AC7F1D" w:rsidRPr="00113B0D" w:rsidRDefault="00AC7F1D" w:rsidP="00AC7F1D">
      <w:r w:rsidRPr="00003902">
        <w:rPr>
          <w:b/>
          <w:bCs/>
          <w:i/>
          <w:iCs/>
        </w:rPr>
        <w:t xml:space="preserve">1116A.1 Warning curbs. </w:t>
      </w:r>
      <w:r w:rsidRPr="00003902">
        <w:rPr>
          <w:i/>
          <w:iCs/>
        </w:rPr>
        <w:t>Abrupt changes in level exceeding 4 inches (101.6 mm) in vertical dimension, such as changes in level at planters or fountains located in or adjacent to walks, sidewalks or other pedestrian ways shall be identified by curbs or other approved barriers projecting at least 6 inches (152.4 mm) in height above the walk or sidewalk surface to warn the blind of a potential drop-off.</w:t>
      </w:r>
      <w:r>
        <w:rPr>
          <w:i/>
          <w:iCs/>
        </w:rPr>
        <w:t xml:space="preserve"> </w:t>
      </w:r>
      <w:r w:rsidRPr="00113B0D">
        <w:t>(No change to existing California amendment.)</w:t>
      </w:r>
    </w:p>
    <w:p w14:paraId="53474E04" w14:textId="77777777" w:rsidR="00AC7F1D" w:rsidRPr="00003902" w:rsidRDefault="00AC7F1D" w:rsidP="00AC7F1D">
      <w:pPr>
        <w:ind w:left="720"/>
        <w:rPr>
          <w:b/>
          <w:bCs/>
          <w:i/>
          <w:iCs/>
        </w:rPr>
      </w:pPr>
      <w:r w:rsidRPr="00003902">
        <w:rPr>
          <w:b/>
          <w:bCs/>
          <w:i/>
          <w:iCs/>
        </w:rPr>
        <w:t>Exceptions:</w:t>
      </w:r>
    </w:p>
    <w:p w14:paraId="7188CA7D" w14:textId="77777777" w:rsidR="00AC7F1D" w:rsidRPr="00113B0D" w:rsidRDefault="00AC7F1D" w:rsidP="00AC7F1D">
      <w:pPr>
        <w:pStyle w:val="ListParagraph"/>
        <w:numPr>
          <w:ilvl w:val="0"/>
          <w:numId w:val="29"/>
        </w:numPr>
      </w:pPr>
      <w:r w:rsidRPr="00BC2C68">
        <w:rPr>
          <w:i/>
          <w:iCs/>
        </w:rPr>
        <w:t xml:space="preserve">Between a walk or sidewalk and an adjacent street or driveway. </w:t>
      </w:r>
      <w:r w:rsidRPr="00113B0D">
        <w:t xml:space="preserve">(No change to existing </w:t>
      </w:r>
      <w:r>
        <w:t>exception</w:t>
      </w:r>
      <w:r w:rsidRPr="00113B0D">
        <w:t>.)</w:t>
      </w:r>
    </w:p>
    <w:p w14:paraId="27CD11DA" w14:textId="22E46B0D" w:rsidR="00AC7F1D" w:rsidRPr="00BC2C68" w:rsidRDefault="00AC7F1D" w:rsidP="001F2463">
      <w:pPr>
        <w:pStyle w:val="ListParagraph"/>
        <w:numPr>
          <w:ilvl w:val="0"/>
          <w:numId w:val="29"/>
        </w:numPr>
        <w:spacing w:after="480"/>
        <w:rPr>
          <w:i/>
          <w:iCs/>
        </w:rPr>
      </w:pPr>
      <w:r w:rsidRPr="00BC2C68">
        <w:rPr>
          <w:i/>
          <w:iCs/>
        </w:rPr>
        <w:t xml:space="preserve">When a guardrail or handrail is provided with edge protection in accordance with </w:t>
      </w:r>
      <w:r w:rsidRPr="001D1B0A">
        <w:rPr>
          <w:i/>
          <w:iCs/>
        </w:rPr>
        <w:t>Section</w:t>
      </w:r>
      <w:r w:rsidRPr="00BC2C68">
        <w:rPr>
          <w:i/>
          <w:iCs/>
          <w:strike/>
        </w:rPr>
        <w:t xml:space="preserve"> 1010.10.1</w:t>
      </w:r>
      <w:r w:rsidRPr="00BC2C68">
        <w:rPr>
          <w:i/>
          <w:iCs/>
        </w:rPr>
        <w:t xml:space="preserve"> </w:t>
      </w:r>
      <w:r w:rsidR="001D1B0A" w:rsidRPr="001D1B0A">
        <w:rPr>
          <w:i/>
          <w:iCs/>
          <w:u w:val="single"/>
        </w:rPr>
        <w:t>1012.10.1</w:t>
      </w:r>
      <w:r w:rsidRPr="00BC2C68">
        <w:rPr>
          <w:i/>
          <w:iCs/>
        </w:rPr>
        <w:t>.</w:t>
      </w:r>
    </w:p>
    <w:p w14:paraId="4C4DC010" w14:textId="18E4A51E" w:rsidR="002E0F36" w:rsidRPr="00820971" w:rsidRDefault="002E0F36" w:rsidP="001F2463">
      <w:pPr>
        <w:pStyle w:val="Heading4"/>
      </w:pPr>
      <w:r>
        <w:t>Rationale:</w:t>
      </w:r>
    </w:p>
    <w:p w14:paraId="3636AE32" w14:textId="75116A24" w:rsidR="00AC7F1D" w:rsidRPr="00E3745F" w:rsidRDefault="00966978" w:rsidP="001F2463">
      <w:pPr>
        <w:spacing w:after="240"/>
        <w:rPr>
          <w:rFonts w:cs="Arial"/>
        </w:rPr>
      </w:pPr>
      <w:r w:rsidRPr="006C1E3D">
        <w:rPr>
          <w:rFonts w:cs="Arial"/>
        </w:rPr>
        <w:t>During</w:t>
      </w:r>
      <w:r>
        <w:rPr>
          <w:rFonts w:cs="Arial"/>
        </w:rPr>
        <w:t xml:space="preserve"> the</w:t>
      </w:r>
      <w:r w:rsidRPr="006C1E3D">
        <w:rPr>
          <w:rFonts w:cs="Arial"/>
        </w:rPr>
        <w:t xml:space="preserve"> </w:t>
      </w:r>
      <w:r w:rsidRPr="00EF52A7">
        <w:rPr>
          <w:rFonts w:cs="Arial"/>
        </w:rPr>
        <w:t xml:space="preserve">2015 Triennial Code Adoption Cycle, </w:t>
      </w:r>
      <w:r>
        <w:rPr>
          <w:rFonts w:cs="Arial"/>
        </w:rPr>
        <w:t>section</w:t>
      </w:r>
      <w:r w:rsidRPr="00EF52A7">
        <w:rPr>
          <w:rFonts w:cs="Arial"/>
        </w:rPr>
        <w:t xml:space="preserve"> 10</w:t>
      </w:r>
      <w:r>
        <w:rPr>
          <w:rFonts w:cs="Arial"/>
        </w:rPr>
        <w:t>10.10.1</w:t>
      </w:r>
      <w:r w:rsidR="00E3745F">
        <w:rPr>
          <w:rFonts w:cs="Arial"/>
        </w:rPr>
        <w:t>,</w:t>
      </w:r>
      <w:r w:rsidRPr="00EF52A7">
        <w:rPr>
          <w:rFonts w:cs="Arial"/>
        </w:rPr>
        <w:t xml:space="preserve"> </w:t>
      </w:r>
      <w:r>
        <w:rPr>
          <w:rFonts w:cs="Arial"/>
        </w:rPr>
        <w:t>was</w:t>
      </w:r>
      <w:r w:rsidRPr="00EF52A7">
        <w:rPr>
          <w:rFonts w:cs="Arial"/>
        </w:rPr>
        <w:t xml:space="preserve"> re</w:t>
      </w:r>
      <w:r>
        <w:rPr>
          <w:rFonts w:cs="Arial"/>
        </w:rPr>
        <w:t>numbered</w:t>
      </w:r>
      <w:r w:rsidRPr="00EF52A7">
        <w:rPr>
          <w:rFonts w:cs="Arial"/>
        </w:rPr>
        <w:t xml:space="preserve"> to align with the changes made to section numbers in the </w:t>
      </w:r>
      <w:r>
        <w:rPr>
          <w:rFonts w:cs="Arial"/>
        </w:rPr>
        <w:t>IBC</w:t>
      </w:r>
      <w:r w:rsidRPr="243EDF57">
        <w:rPr>
          <w:rFonts w:cs="Arial"/>
        </w:rPr>
        <w:t>.</w:t>
      </w:r>
      <w:r w:rsidRPr="00EF52A7">
        <w:rPr>
          <w:rFonts w:cs="Arial"/>
        </w:rPr>
        <w:t xml:space="preserve"> However, the reference in Chapter 11A</w:t>
      </w:r>
      <w:r>
        <w:rPr>
          <w:rFonts w:cs="Arial"/>
        </w:rPr>
        <w:t>,</w:t>
      </w:r>
      <w:r w:rsidRPr="00EF52A7">
        <w:rPr>
          <w:rFonts w:cs="Arial"/>
        </w:rPr>
        <w:t xml:space="preserve"> </w:t>
      </w:r>
      <w:r w:rsidR="00E3745F">
        <w:rPr>
          <w:rFonts w:cs="Arial"/>
        </w:rPr>
        <w:t>s</w:t>
      </w:r>
      <w:r w:rsidRPr="00EF52A7">
        <w:rPr>
          <w:rFonts w:cs="Arial"/>
        </w:rPr>
        <w:t>ection 11</w:t>
      </w:r>
      <w:r>
        <w:rPr>
          <w:rFonts w:cs="Arial"/>
        </w:rPr>
        <w:t>16</w:t>
      </w:r>
      <w:r w:rsidRPr="00EF52A7">
        <w:rPr>
          <w:rFonts w:cs="Arial"/>
        </w:rPr>
        <w:t>A</w:t>
      </w:r>
      <w:r>
        <w:rPr>
          <w:rFonts w:cs="Arial"/>
        </w:rPr>
        <w:t>.1</w:t>
      </w:r>
      <w:r w:rsidR="00E3745F">
        <w:rPr>
          <w:rFonts w:cs="Arial"/>
        </w:rPr>
        <w:t>,</w:t>
      </w:r>
      <w:r w:rsidRPr="00EF52A7">
        <w:rPr>
          <w:rFonts w:cs="Arial"/>
        </w:rPr>
        <w:t xml:space="preserve"> </w:t>
      </w:r>
      <w:r>
        <w:rPr>
          <w:rFonts w:cs="Arial"/>
        </w:rPr>
        <w:t xml:space="preserve">to Section 1010.10.1 </w:t>
      </w:r>
      <w:r w:rsidRPr="00EF52A7">
        <w:rPr>
          <w:rFonts w:cs="Arial"/>
        </w:rPr>
        <w:t xml:space="preserve">was </w:t>
      </w:r>
      <w:r>
        <w:rPr>
          <w:rFonts w:cs="Arial"/>
        </w:rPr>
        <w:t xml:space="preserve">inadvertently left in </w:t>
      </w:r>
      <w:r w:rsidR="00E3745F">
        <w:rPr>
          <w:rFonts w:cs="Arial"/>
        </w:rPr>
        <w:t xml:space="preserve">which is now </w:t>
      </w:r>
      <w:r>
        <w:rPr>
          <w:rFonts w:cs="Arial"/>
        </w:rPr>
        <w:t>Section 1012.10.1.</w:t>
      </w:r>
      <w:r w:rsidR="00E3745F">
        <w:rPr>
          <w:rFonts w:cs="Arial"/>
        </w:rPr>
        <w:t xml:space="preserve"> This is </w:t>
      </w:r>
      <w:r w:rsidR="004D704D">
        <w:rPr>
          <w:rFonts w:cs="Arial"/>
        </w:rPr>
        <w:t xml:space="preserve">an </w:t>
      </w:r>
      <w:r w:rsidR="00E3745F">
        <w:rPr>
          <w:rFonts w:cs="Arial"/>
        </w:rPr>
        <w:t xml:space="preserve">editorial </w:t>
      </w:r>
      <w:r w:rsidR="004D704D">
        <w:rPr>
          <w:rFonts w:cs="Arial"/>
        </w:rPr>
        <w:t xml:space="preserve">change </w:t>
      </w:r>
      <w:r w:rsidR="00E3745F">
        <w:rPr>
          <w:rFonts w:cs="Arial"/>
        </w:rPr>
        <w:t>and t</w:t>
      </w:r>
      <w:r w:rsidRPr="006C1E3D">
        <w:rPr>
          <w:rFonts w:cs="Arial"/>
        </w:rPr>
        <w:t xml:space="preserve">here is no intended change in regulatory </w:t>
      </w:r>
      <w:r w:rsidRPr="00003CF9">
        <w:rPr>
          <w:rFonts w:cs="Arial"/>
          <w:szCs w:val="24"/>
        </w:rPr>
        <w:t>effect</w:t>
      </w:r>
      <w:r>
        <w:rPr>
          <w:rFonts w:cs="Arial"/>
          <w:szCs w:val="24"/>
        </w:rPr>
        <w:t>.</w:t>
      </w:r>
    </w:p>
    <w:p w14:paraId="49E8DE01" w14:textId="77777777" w:rsidR="00E07590" w:rsidRDefault="00E07590" w:rsidP="00966978">
      <w:pPr>
        <w:widowControl/>
        <w:pBdr>
          <w:bottom w:val="single" w:sz="24" w:space="1" w:color="auto"/>
        </w:pBdr>
        <w:spacing w:before="120"/>
        <w:rPr>
          <w:rFonts w:cs="Arial"/>
          <w:szCs w:val="24"/>
        </w:rPr>
      </w:pPr>
    </w:p>
    <w:p w14:paraId="6AC58F0D" w14:textId="2671FE5B" w:rsidR="00AC7F1D" w:rsidRPr="00AD67B3" w:rsidRDefault="00AC7F1D" w:rsidP="00AC7F1D">
      <w:pPr>
        <w:pStyle w:val="Heading3"/>
        <w:rPr>
          <w:noProof/>
          <w:highlight w:val="lightGray"/>
        </w:rPr>
      </w:pPr>
      <w:r w:rsidRPr="00AD67B3">
        <w:t xml:space="preserve">ITEM </w:t>
      </w:r>
      <w:r w:rsidR="001D1B0A">
        <w:t>6</w:t>
      </w:r>
      <w:r>
        <w:br/>
      </w:r>
      <w:r w:rsidRPr="00AD67B3">
        <w:t xml:space="preserve">Chapter </w:t>
      </w:r>
      <w:r w:rsidRPr="02A7658F">
        <w:rPr>
          <w:rFonts w:eastAsia="Arial" w:cs="Arial"/>
        </w:rPr>
        <w:t>11A Housing Accessibility</w:t>
      </w:r>
      <w:r>
        <w:rPr>
          <w:rFonts w:eastAsia="Arial" w:cs="Arial"/>
        </w:rPr>
        <w:t xml:space="preserve">, </w:t>
      </w:r>
      <w:r w:rsidRPr="00AD67B3">
        <w:t xml:space="preserve">Section </w:t>
      </w:r>
      <w:r w:rsidRPr="00DA35DE">
        <w:rPr>
          <w:i/>
          <w:iCs/>
        </w:rPr>
        <w:t>112</w:t>
      </w:r>
      <w:r w:rsidR="00601503">
        <w:rPr>
          <w:i/>
          <w:iCs/>
        </w:rPr>
        <w:t>2</w:t>
      </w:r>
      <w:r w:rsidRPr="00DA35DE">
        <w:rPr>
          <w:i/>
          <w:iCs/>
        </w:rPr>
        <w:t xml:space="preserve">A.6 </w:t>
      </w:r>
      <w:r w:rsidR="00601503" w:rsidRPr="00601503">
        <w:rPr>
          <w:i/>
          <w:iCs/>
        </w:rPr>
        <w:t>Edge protection</w:t>
      </w:r>
      <w:r w:rsidR="00AB67F6">
        <w:rPr>
          <w:i/>
          <w:iCs/>
        </w:rPr>
        <w:t>.</w:t>
      </w:r>
      <w:r w:rsidRPr="00DA35DE">
        <w:rPr>
          <w:i/>
          <w:iCs/>
        </w:rPr>
        <w:t xml:space="preserve"> </w:t>
      </w:r>
    </w:p>
    <w:p w14:paraId="16877C3A" w14:textId="5DEA3105" w:rsidR="00AC7F1D" w:rsidRPr="006E3727" w:rsidRDefault="00AC7F1D" w:rsidP="00AC7F1D">
      <w:pPr>
        <w:rPr>
          <w:i/>
          <w:iCs/>
        </w:rPr>
      </w:pPr>
      <w:r w:rsidRPr="00443BA7">
        <w:rPr>
          <w:b/>
          <w:bCs/>
          <w:i/>
          <w:iCs/>
        </w:rPr>
        <w:t>1122A.6 Edge protection</w:t>
      </w:r>
      <w:r w:rsidRPr="006E3727">
        <w:rPr>
          <w:i/>
          <w:iCs/>
        </w:rPr>
        <w:t>. Ramps and ramp landings shall be</w:t>
      </w:r>
      <w:r>
        <w:rPr>
          <w:i/>
          <w:iCs/>
        </w:rPr>
        <w:t xml:space="preserve"> </w:t>
      </w:r>
      <w:r w:rsidRPr="006E3727">
        <w:rPr>
          <w:i/>
          <w:iCs/>
        </w:rPr>
        <w:t xml:space="preserve">provided with a </w:t>
      </w:r>
      <w:r>
        <w:rPr>
          <w:i/>
          <w:iCs/>
        </w:rPr>
        <w:t>c</w:t>
      </w:r>
      <w:r w:rsidRPr="006E3727">
        <w:rPr>
          <w:i/>
          <w:iCs/>
        </w:rPr>
        <w:t>ontinuous and uninterrupted barrier on</w:t>
      </w:r>
      <w:r>
        <w:rPr>
          <w:i/>
          <w:iCs/>
        </w:rPr>
        <w:t xml:space="preserve"> </w:t>
      </w:r>
      <w:r w:rsidRPr="006E3727">
        <w:rPr>
          <w:i/>
          <w:iCs/>
        </w:rPr>
        <w:t xml:space="preserve">each side along the entire length in compliance with </w:t>
      </w:r>
      <w:r w:rsidRPr="0029577E">
        <w:rPr>
          <w:i/>
          <w:iCs/>
        </w:rPr>
        <w:t>Sections</w:t>
      </w:r>
      <w:r w:rsidRPr="00443BA7">
        <w:rPr>
          <w:i/>
          <w:iCs/>
          <w:strike/>
        </w:rPr>
        <w:t xml:space="preserve"> 1010.10 </w:t>
      </w:r>
      <w:r w:rsidR="0029577E" w:rsidRPr="00DD3551">
        <w:rPr>
          <w:i/>
          <w:iCs/>
          <w:u w:val="single"/>
        </w:rPr>
        <w:t>1</w:t>
      </w:r>
      <w:r w:rsidR="00DD3551" w:rsidRPr="00DD3551">
        <w:rPr>
          <w:i/>
          <w:iCs/>
          <w:u w:val="single"/>
        </w:rPr>
        <w:t xml:space="preserve">012.10 </w:t>
      </w:r>
      <w:r w:rsidRPr="0029577E">
        <w:rPr>
          <w:i/>
          <w:iCs/>
        </w:rPr>
        <w:t>and</w:t>
      </w:r>
      <w:r w:rsidRPr="00443BA7">
        <w:rPr>
          <w:i/>
          <w:iCs/>
          <w:strike/>
        </w:rPr>
        <w:t xml:space="preserve"> 1010.10.1</w:t>
      </w:r>
      <w:r>
        <w:rPr>
          <w:i/>
          <w:iCs/>
        </w:rPr>
        <w:t xml:space="preserve"> </w:t>
      </w:r>
      <w:r w:rsidRPr="00443BA7">
        <w:rPr>
          <w:i/>
          <w:iCs/>
          <w:u w:val="single"/>
        </w:rPr>
        <w:t>10</w:t>
      </w:r>
      <w:r w:rsidR="00DD3551">
        <w:rPr>
          <w:i/>
          <w:iCs/>
          <w:u w:val="single"/>
        </w:rPr>
        <w:t>12.10.1</w:t>
      </w:r>
      <w:r w:rsidRPr="00443BA7">
        <w:rPr>
          <w:i/>
          <w:iCs/>
          <w:u w:val="single"/>
        </w:rPr>
        <w:t>.</w:t>
      </w:r>
      <w:r w:rsidRPr="006E3727">
        <w:rPr>
          <w:i/>
          <w:iCs/>
        </w:rPr>
        <w:t xml:space="preserve"> (See Figure 11A-5A.)</w:t>
      </w:r>
    </w:p>
    <w:p w14:paraId="66B571D1" w14:textId="486EEF57" w:rsidR="00AC7F1D" w:rsidRDefault="00AC7F1D" w:rsidP="001F2463">
      <w:pPr>
        <w:spacing w:after="480"/>
        <w:rPr>
          <w:i/>
          <w:iCs/>
        </w:rPr>
      </w:pPr>
      <w:r w:rsidRPr="002856CF">
        <w:rPr>
          <w:b/>
          <w:bCs/>
          <w:i/>
          <w:iCs/>
        </w:rPr>
        <w:t>Note</w:t>
      </w:r>
      <w:r w:rsidRPr="006E3727">
        <w:rPr>
          <w:i/>
          <w:iCs/>
        </w:rPr>
        <w:t>: Extended floors or ground surfaces, as permitted in</w:t>
      </w:r>
      <w:r>
        <w:rPr>
          <w:i/>
          <w:iCs/>
        </w:rPr>
        <w:t xml:space="preserve"> </w:t>
      </w:r>
      <w:r w:rsidRPr="00DD3551">
        <w:rPr>
          <w:i/>
          <w:iCs/>
        </w:rPr>
        <w:t>Section</w:t>
      </w:r>
      <w:r w:rsidRPr="00443BA7">
        <w:rPr>
          <w:i/>
          <w:iCs/>
          <w:strike/>
        </w:rPr>
        <w:t xml:space="preserve"> 1010.10.2</w:t>
      </w:r>
      <w:r>
        <w:rPr>
          <w:i/>
          <w:iCs/>
        </w:rPr>
        <w:t xml:space="preserve"> </w:t>
      </w:r>
      <w:r w:rsidRPr="00443BA7">
        <w:rPr>
          <w:i/>
          <w:iCs/>
          <w:u w:val="single"/>
        </w:rPr>
        <w:t>10</w:t>
      </w:r>
      <w:r w:rsidR="000B29A0">
        <w:rPr>
          <w:i/>
          <w:iCs/>
          <w:u w:val="single"/>
        </w:rPr>
        <w:t>12.10.</w:t>
      </w:r>
      <w:r w:rsidR="0027764E">
        <w:rPr>
          <w:i/>
          <w:iCs/>
          <w:u w:val="single"/>
        </w:rPr>
        <w:t>2</w:t>
      </w:r>
      <w:r w:rsidRPr="006E3727">
        <w:rPr>
          <w:i/>
          <w:iCs/>
        </w:rPr>
        <w:t>, are not allowed for ramps and ramp</w:t>
      </w:r>
      <w:r>
        <w:rPr>
          <w:i/>
          <w:iCs/>
        </w:rPr>
        <w:t xml:space="preserve"> </w:t>
      </w:r>
      <w:r w:rsidRPr="006E3727">
        <w:rPr>
          <w:i/>
          <w:iCs/>
        </w:rPr>
        <w:t>landings providing access to, or egress from, buildings or</w:t>
      </w:r>
      <w:r>
        <w:rPr>
          <w:i/>
          <w:iCs/>
        </w:rPr>
        <w:t xml:space="preserve"> </w:t>
      </w:r>
      <w:r w:rsidRPr="006E3727">
        <w:rPr>
          <w:i/>
          <w:iCs/>
        </w:rPr>
        <w:t>facilities where accessibility is required.</w:t>
      </w:r>
    </w:p>
    <w:p w14:paraId="79A8554F" w14:textId="54C25FCE" w:rsidR="002E0F36" w:rsidRPr="00820971" w:rsidRDefault="002E0F36" w:rsidP="001F2463">
      <w:pPr>
        <w:pStyle w:val="Heading4"/>
      </w:pPr>
      <w:r>
        <w:t>Rationale:</w:t>
      </w:r>
    </w:p>
    <w:p w14:paraId="7ACAF2C9" w14:textId="28D4AC82" w:rsidR="004D704D" w:rsidRPr="00E3745F" w:rsidRDefault="00966978" w:rsidP="001F2463">
      <w:pPr>
        <w:spacing w:after="240"/>
        <w:rPr>
          <w:rFonts w:cs="Arial"/>
        </w:rPr>
      </w:pPr>
      <w:r w:rsidRPr="006C1E3D">
        <w:rPr>
          <w:rFonts w:cs="Arial"/>
        </w:rPr>
        <w:t>During</w:t>
      </w:r>
      <w:r>
        <w:rPr>
          <w:rFonts w:cs="Arial"/>
        </w:rPr>
        <w:t xml:space="preserve"> the</w:t>
      </w:r>
      <w:r w:rsidRPr="006C1E3D">
        <w:rPr>
          <w:rFonts w:cs="Arial"/>
        </w:rPr>
        <w:t xml:space="preserve"> </w:t>
      </w:r>
      <w:r w:rsidRPr="00EF52A7">
        <w:rPr>
          <w:rFonts w:cs="Arial"/>
        </w:rPr>
        <w:t xml:space="preserve">2015 Triennial Code Adoption Cycle, </w:t>
      </w:r>
      <w:r>
        <w:rPr>
          <w:rFonts w:cs="Arial"/>
        </w:rPr>
        <w:t xml:space="preserve">sections </w:t>
      </w:r>
      <w:r w:rsidR="00486E30" w:rsidRPr="00486E30">
        <w:rPr>
          <w:i/>
          <w:iCs/>
        </w:rPr>
        <w:t>1010.10</w:t>
      </w:r>
      <w:r w:rsidR="00486E30">
        <w:rPr>
          <w:i/>
          <w:iCs/>
        </w:rPr>
        <w:t xml:space="preserve">, </w:t>
      </w:r>
      <w:r w:rsidR="00486E30" w:rsidRPr="00486E30">
        <w:rPr>
          <w:i/>
          <w:iCs/>
        </w:rPr>
        <w:t>1010.10.1</w:t>
      </w:r>
      <w:r w:rsidR="00486E30">
        <w:rPr>
          <w:i/>
          <w:iCs/>
        </w:rPr>
        <w:t>, and 10</w:t>
      </w:r>
      <w:r w:rsidR="00B14E7E">
        <w:rPr>
          <w:i/>
          <w:iCs/>
        </w:rPr>
        <w:t>10.10.2</w:t>
      </w:r>
      <w:r w:rsidR="00486E30">
        <w:rPr>
          <w:rFonts w:cs="Arial"/>
        </w:rPr>
        <w:t xml:space="preserve"> </w:t>
      </w:r>
      <w:r>
        <w:rPr>
          <w:rFonts w:cs="Arial"/>
        </w:rPr>
        <w:t>were</w:t>
      </w:r>
      <w:r w:rsidRPr="00EF52A7">
        <w:rPr>
          <w:rFonts w:cs="Arial"/>
        </w:rPr>
        <w:t xml:space="preserve"> re</w:t>
      </w:r>
      <w:r>
        <w:rPr>
          <w:rFonts w:cs="Arial"/>
        </w:rPr>
        <w:t>numbered</w:t>
      </w:r>
      <w:r w:rsidRPr="00EF52A7">
        <w:rPr>
          <w:rFonts w:cs="Arial"/>
        </w:rPr>
        <w:t xml:space="preserve"> to align with the changes made to section numbers in the </w:t>
      </w:r>
      <w:r>
        <w:rPr>
          <w:rFonts w:cs="Arial"/>
        </w:rPr>
        <w:t>IBC</w:t>
      </w:r>
      <w:r w:rsidRPr="00EF52A7">
        <w:rPr>
          <w:rFonts w:cs="Arial"/>
        </w:rPr>
        <w:t>. However, the reference</w:t>
      </w:r>
      <w:r>
        <w:rPr>
          <w:rFonts w:cs="Arial"/>
        </w:rPr>
        <w:t>s</w:t>
      </w:r>
      <w:r w:rsidRPr="00EF52A7">
        <w:rPr>
          <w:rFonts w:cs="Arial"/>
        </w:rPr>
        <w:t xml:space="preserve"> in Chapter 11A</w:t>
      </w:r>
      <w:r>
        <w:rPr>
          <w:rFonts w:cs="Arial"/>
        </w:rPr>
        <w:t>,</w:t>
      </w:r>
      <w:r w:rsidRPr="00EF52A7">
        <w:rPr>
          <w:rFonts w:cs="Arial"/>
        </w:rPr>
        <w:t xml:space="preserve"> </w:t>
      </w:r>
      <w:r w:rsidR="00486E30">
        <w:rPr>
          <w:rFonts w:cs="Arial"/>
        </w:rPr>
        <w:t>s</w:t>
      </w:r>
      <w:r w:rsidRPr="00EF52A7">
        <w:rPr>
          <w:rFonts w:cs="Arial"/>
        </w:rPr>
        <w:t>ection 11</w:t>
      </w:r>
      <w:r>
        <w:rPr>
          <w:rFonts w:cs="Arial"/>
        </w:rPr>
        <w:t>22</w:t>
      </w:r>
      <w:r w:rsidRPr="00EF52A7">
        <w:rPr>
          <w:rFonts w:cs="Arial"/>
        </w:rPr>
        <w:t>A</w:t>
      </w:r>
      <w:r>
        <w:rPr>
          <w:rFonts w:cs="Arial"/>
        </w:rPr>
        <w:t>.6</w:t>
      </w:r>
      <w:r w:rsidR="00486E30">
        <w:rPr>
          <w:rFonts w:cs="Arial"/>
        </w:rPr>
        <w:t>,</w:t>
      </w:r>
      <w:r w:rsidRPr="00EF52A7">
        <w:rPr>
          <w:rFonts w:cs="Arial"/>
        </w:rPr>
        <w:t xml:space="preserve"> </w:t>
      </w:r>
      <w:r>
        <w:rPr>
          <w:rFonts w:cs="Arial"/>
        </w:rPr>
        <w:t xml:space="preserve">to </w:t>
      </w:r>
      <w:r w:rsidR="00B14E7E">
        <w:rPr>
          <w:rFonts w:cs="Arial"/>
        </w:rPr>
        <w:t xml:space="preserve">these </w:t>
      </w:r>
      <w:r w:rsidR="00486E30">
        <w:rPr>
          <w:rFonts w:cs="Arial"/>
        </w:rPr>
        <w:t>s</w:t>
      </w:r>
      <w:r>
        <w:rPr>
          <w:rFonts w:cs="Arial"/>
        </w:rPr>
        <w:t>ection</w:t>
      </w:r>
      <w:r w:rsidR="00B14E7E">
        <w:rPr>
          <w:rFonts w:cs="Arial"/>
        </w:rPr>
        <w:t>s</w:t>
      </w:r>
      <w:r>
        <w:rPr>
          <w:rFonts w:cs="Arial"/>
        </w:rPr>
        <w:t xml:space="preserve"> </w:t>
      </w:r>
      <w:r w:rsidRPr="00EF52A7">
        <w:rPr>
          <w:rFonts w:cs="Arial"/>
        </w:rPr>
        <w:t>w</w:t>
      </w:r>
      <w:r>
        <w:rPr>
          <w:rFonts w:cs="Arial"/>
        </w:rPr>
        <w:t>ere</w:t>
      </w:r>
      <w:r w:rsidRPr="00EF52A7">
        <w:rPr>
          <w:rFonts w:cs="Arial"/>
        </w:rPr>
        <w:t xml:space="preserve"> </w:t>
      </w:r>
      <w:r>
        <w:rPr>
          <w:rFonts w:cs="Arial"/>
        </w:rPr>
        <w:t xml:space="preserve">inadvertently left in and are now being proposed to be updated to </w:t>
      </w:r>
      <w:r w:rsidR="00486E30">
        <w:rPr>
          <w:rFonts w:cs="Arial"/>
        </w:rPr>
        <w:t>s</w:t>
      </w:r>
      <w:r>
        <w:rPr>
          <w:rFonts w:cs="Arial"/>
        </w:rPr>
        <w:t>ection</w:t>
      </w:r>
      <w:r w:rsidR="00486E30">
        <w:rPr>
          <w:rFonts w:cs="Arial"/>
        </w:rPr>
        <w:t>s</w:t>
      </w:r>
      <w:r>
        <w:rPr>
          <w:rFonts w:cs="Arial"/>
        </w:rPr>
        <w:t xml:space="preserve"> 1012</w:t>
      </w:r>
      <w:r w:rsidR="00B14E7E">
        <w:rPr>
          <w:rFonts w:cs="Arial"/>
        </w:rPr>
        <w:t>.</w:t>
      </w:r>
      <w:r>
        <w:rPr>
          <w:rFonts w:cs="Arial"/>
        </w:rPr>
        <w:t xml:space="preserve">10, </w:t>
      </w:r>
      <w:r>
        <w:rPr>
          <w:rFonts w:cs="Arial"/>
        </w:rPr>
        <w:lastRenderedPageBreak/>
        <w:t>1012.10.1,</w:t>
      </w:r>
      <w:r w:rsidR="00DA1562">
        <w:rPr>
          <w:rFonts w:cs="Arial"/>
        </w:rPr>
        <w:t xml:space="preserve"> and </w:t>
      </w:r>
      <w:r>
        <w:rPr>
          <w:rFonts w:cs="Arial"/>
        </w:rPr>
        <w:t>1012.10.2</w:t>
      </w:r>
      <w:r w:rsidR="00DA1562">
        <w:rPr>
          <w:rFonts w:cs="Arial"/>
        </w:rPr>
        <w:t>, respectively</w:t>
      </w:r>
      <w:r>
        <w:rPr>
          <w:rFonts w:cs="Arial"/>
        </w:rPr>
        <w:t>.</w:t>
      </w:r>
      <w:r w:rsidR="004D704D">
        <w:rPr>
          <w:rFonts w:cs="Arial"/>
        </w:rPr>
        <w:t xml:space="preserve"> These are editorial changes and t</w:t>
      </w:r>
      <w:r w:rsidR="004D704D" w:rsidRPr="006C1E3D">
        <w:rPr>
          <w:rFonts w:cs="Arial"/>
        </w:rPr>
        <w:t xml:space="preserve">here is no intended change in regulatory </w:t>
      </w:r>
      <w:r w:rsidR="004D704D" w:rsidRPr="00003CF9">
        <w:rPr>
          <w:rFonts w:cs="Arial"/>
          <w:szCs w:val="24"/>
        </w:rPr>
        <w:t>effect</w:t>
      </w:r>
      <w:r w:rsidR="004D704D">
        <w:rPr>
          <w:rFonts w:cs="Arial"/>
          <w:szCs w:val="24"/>
        </w:rPr>
        <w:t>.</w:t>
      </w:r>
    </w:p>
    <w:p w14:paraId="6AB7C8BE" w14:textId="77777777" w:rsidR="00AC7F1D" w:rsidRDefault="00AC7F1D" w:rsidP="00AC7F1D">
      <w:pPr>
        <w:widowControl/>
        <w:pBdr>
          <w:bottom w:val="single" w:sz="24" w:space="1" w:color="auto"/>
        </w:pBdr>
        <w:spacing w:before="120"/>
        <w:rPr>
          <w:rFonts w:cs="Arial"/>
          <w:szCs w:val="24"/>
        </w:rPr>
      </w:pPr>
    </w:p>
    <w:p w14:paraId="503ACB3D" w14:textId="63B9555D" w:rsidR="00AC7F1D" w:rsidRDefault="00AC7F1D" w:rsidP="000B29A0">
      <w:pPr>
        <w:pStyle w:val="Heading3"/>
        <w:rPr>
          <w:i/>
          <w:iCs/>
        </w:rPr>
      </w:pPr>
      <w:r w:rsidRPr="00AD67B3">
        <w:t xml:space="preserve">ITEM </w:t>
      </w:r>
      <w:r w:rsidR="00314CF6">
        <w:t>7</w:t>
      </w:r>
      <w:r>
        <w:br/>
      </w:r>
      <w:r w:rsidRPr="00AD67B3">
        <w:t xml:space="preserve">Chapter </w:t>
      </w:r>
      <w:r w:rsidRPr="02A7658F">
        <w:rPr>
          <w:rFonts w:eastAsia="Arial" w:cs="Arial"/>
        </w:rPr>
        <w:t>11A Housing Accessibility</w:t>
      </w:r>
      <w:r>
        <w:rPr>
          <w:rFonts w:eastAsia="Arial" w:cs="Arial"/>
        </w:rPr>
        <w:t xml:space="preserve">, </w:t>
      </w:r>
      <w:r w:rsidRPr="00AD67B3">
        <w:t xml:space="preserve">Section </w:t>
      </w:r>
      <w:r w:rsidRPr="00DA35DE">
        <w:rPr>
          <w:i/>
          <w:iCs/>
        </w:rPr>
        <w:t>1123A.6 Interior stairway handrails</w:t>
      </w:r>
      <w:r w:rsidRPr="006E3727">
        <w:rPr>
          <w:i/>
          <w:iCs/>
        </w:rPr>
        <w:t>.</w:t>
      </w:r>
    </w:p>
    <w:p w14:paraId="7A93CA1C" w14:textId="46A3B7E5" w:rsidR="00AC7F1D" w:rsidRPr="00E95161" w:rsidRDefault="00AC7F1D" w:rsidP="00AC7F1D">
      <w:pPr>
        <w:rPr>
          <w:b/>
          <w:bCs/>
          <w:i/>
          <w:iCs/>
        </w:rPr>
      </w:pPr>
      <w:r w:rsidRPr="00E95161">
        <w:rPr>
          <w:b/>
          <w:bCs/>
          <w:i/>
          <w:iCs/>
        </w:rPr>
        <w:t>1123A.6 Interior stairway handrails.</w:t>
      </w:r>
    </w:p>
    <w:p w14:paraId="12BD840B" w14:textId="2A174BC5" w:rsidR="00AC7F1D" w:rsidRDefault="00AC7F1D" w:rsidP="00AC7F1D">
      <w:pPr>
        <w:ind w:left="720"/>
        <w:rPr>
          <w:i/>
          <w:iCs/>
        </w:rPr>
      </w:pPr>
      <w:r w:rsidRPr="00E95161">
        <w:rPr>
          <w:b/>
          <w:bCs/>
          <w:i/>
          <w:iCs/>
        </w:rPr>
        <w:t>1123A.6.1 Where required.</w:t>
      </w:r>
      <w:r w:rsidRPr="00E95161">
        <w:rPr>
          <w:i/>
          <w:iCs/>
        </w:rPr>
        <w:t xml:space="preserve"> Stairways shall have handrails</w:t>
      </w:r>
      <w:r>
        <w:rPr>
          <w:i/>
          <w:iCs/>
        </w:rPr>
        <w:t xml:space="preserve"> </w:t>
      </w:r>
      <w:r w:rsidRPr="00E95161">
        <w:rPr>
          <w:i/>
          <w:iCs/>
        </w:rPr>
        <w:t>on each side. Intermediate handrails shall be located</w:t>
      </w:r>
      <w:r>
        <w:rPr>
          <w:i/>
          <w:iCs/>
        </w:rPr>
        <w:t xml:space="preserve"> </w:t>
      </w:r>
      <w:r w:rsidRPr="00E95161">
        <w:rPr>
          <w:i/>
          <w:iCs/>
        </w:rPr>
        <w:t>equidistant from the sides of the stairway and comply with</w:t>
      </w:r>
      <w:r>
        <w:rPr>
          <w:i/>
          <w:iCs/>
        </w:rPr>
        <w:t xml:space="preserve"> </w:t>
      </w:r>
      <w:r w:rsidRPr="0057726F">
        <w:rPr>
          <w:i/>
          <w:iCs/>
        </w:rPr>
        <w:t>Section</w:t>
      </w:r>
      <w:r w:rsidRPr="00E95161">
        <w:rPr>
          <w:i/>
          <w:iCs/>
          <w:strike/>
        </w:rPr>
        <w:t xml:space="preserve"> 1012.9</w:t>
      </w:r>
      <w:r>
        <w:rPr>
          <w:i/>
          <w:iCs/>
        </w:rPr>
        <w:t xml:space="preserve"> </w:t>
      </w:r>
      <w:r w:rsidRPr="00F25DC3">
        <w:rPr>
          <w:i/>
          <w:iCs/>
          <w:u w:val="single"/>
        </w:rPr>
        <w:t>10</w:t>
      </w:r>
      <w:r w:rsidR="0057726F">
        <w:rPr>
          <w:i/>
          <w:iCs/>
          <w:u w:val="single"/>
        </w:rPr>
        <w:t>1</w:t>
      </w:r>
      <w:r w:rsidR="00D21C01">
        <w:rPr>
          <w:i/>
          <w:iCs/>
          <w:u w:val="single"/>
        </w:rPr>
        <w:t>4</w:t>
      </w:r>
      <w:r w:rsidR="0057726F">
        <w:rPr>
          <w:i/>
          <w:iCs/>
          <w:u w:val="single"/>
        </w:rPr>
        <w:t>.</w:t>
      </w:r>
      <w:r w:rsidR="00D21C01">
        <w:rPr>
          <w:i/>
          <w:iCs/>
          <w:u w:val="single"/>
        </w:rPr>
        <w:t>9</w:t>
      </w:r>
      <w:r w:rsidRPr="00E95161">
        <w:rPr>
          <w:i/>
          <w:iCs/>
        </w:rPr>
        <w:t>.</w:t>
      </w:r>
    </w:p>
    <w:p w14:paraId="0B7F54D1" w14:textId="77777777" w:rsidR="00AC7F1D" w:rsidRDefault="00AC7F1D" w:rsidP="001F2463">
      <w:pPr>
        <w:spacing w:after="480"/>
        <w:ind w:left="1440"/>
      </w:pPr>
      <w:r w:rsidRPr="00F25DC3">
        <w:rPr>
          <w:b/>
          <w:bCs/>
          <w:i/>
          <w:iCs/>
        </w:rPr>
        <w:t>Exception</w:t>
      </w:r>
      <w:r w:rsidRPr="00F25DC3">
        <w:rPr>
          <w:i/>
          <w:iCs/>
        </w:rPr>
        <w:t>:</w:t>
      </w:r>
      <w:r w:rsidRPr="002A6413">
        <w:t xml:space="preserve"> (No change to existing </w:t>
      </w:r>
      <w:r>
        <w:t>exception</w:t>
      </w:r>
      <w:r w:rsidRPr="002A6413">
        <w:t>.)</w:t>
      </w:r>
    </w:p>
    <w:p w14:paraId="33FBB7AA" w14:textId="0286C18D" w:rsidR="00CD3CA7" w:rsidRPr="00820971" w:rsidRDefault="00CD3CA7" w:rsidP="001F2463">
      <w:pPr>
        <w:pStyle w:val="Heading4"/>
      </w:pPr>
      <w:r>
        <w:t>Rationale:</w:t>
      </w:r>
    </w:p>
    <w:p w14:paraId="4C785882" w14:textId="1C594830" w:rsidR="00966978" w:rsidRPr="00EF52A7" w:rsidRDefault="00966978" w:rsidP="00966978">
      <w:pPr>
        <w:rPr>
          <w:rFonts w:cs="Arial"/>
        </w:rPr>
      </w:pPr>
      <w:r w:rsidRPr="006C1E3D">
        <w:rPr>
          <w:rFonts w:cs="Arial"/>
        </w:rPr>
        <w:t>During</w:t>
      </w:r>
      <w:r>
        <w:rPr>
          <w:rFonts w:cs="Arial"/>
        </w:rPr>
        <w:t xml:space="preserve"> the</w:t>
      </w:r>
      <w:r w:rsidRPr="006C1E3D">
        <w:rPr>
          <w:rFonts w:cs="Arial"/>
        </w:rPr>
        <w:t xml:space="preserve"> </w:t>
      </w:r>
      <w:r w:rsidRPr="00EF52A7">
        <w:rPr>
          <w:rFonts w:cs="Arial"/>
        </w:rPr>
        <w:t xml:space="preserve">2015 Triennial Code Adoption Cycle, </w:t>
      </w:r>
      <w:r>
        <w:rPr>
          <w:rFonts w:cs="Arial"/>
        </w:rPr>
        <w:t>section</w:t>
      </w:r>
      <w:r w:rsidRPr="00EF52A7">
        <w:rPr>
          <w:rFonts w:cs="Arial"/>
        </w:rPr>
        <w:t xml:space="preserve"> 10</w:t>
      </w:r>
      <w:r>
        <w:rPr>
          <w:rFonts w:cs="Arial"/>
        </w:rPr>
        <w:t>12</w:t>
      </w:r>
      <w:r w:rsidR="004D704D">
        <w:rPr>
          <w:rFonts w:cs="Arial"/>
        </w:rPr>
        <w:t>,</w:t>
      </w:r>
      <w:r w:rsidRPr="00EF52A7">
        <w:rPr>
          <w:rFonts w:cs="Arial"/>
        </w:rPr>
        <w:t xml:space="preserve"> </w:t>
      </w:r>
      <w:r>
        <w:rPr>
          <w:rFonts w:cs="Arial"/>
        </w:rPr>
        <w:t>was</w:t>
      </w:r>
      <w:r w:rsidRPr="00EF52A7">
        <w:rPr>
          <w:rFonts w:cs="Arial"/>
        </w:rPr>
        <w:t xml:space="preserve"> re</w:t>
      </w:r>
      <w:r>
        <w:rPr>
          <w:rFonts w:cs="Arial"/>
        </w:rPr>
        <w:t>numbered</w:t>
      </w:r>
      <w:r w:rsidRPr="00EF52A7">
        <w:rPr>
          <w:rFonts w:cs="Arial"/>
        </w:rPr>
        <w:t xml:space="preserve"> to align with the changes made to section numbers in the </w:t>
      </w:r>
      <w:r>
        <w:rPr>
          <w:rFonts w:cs="Arial"/>
        </w:rPr>
        <w:t>IBC</w:t>
      </w:r>
      <w:r w:rsidRPr="00EF52A7">
        <w:rPr>
          <w:rFonts w:cs="Arial"/>
        </w:rPr>
        <w:t>. However, the reference in Chapter 11A</w:t>
      </w:r>
      <w:r>
        <w:rPr>
          <w:rFonts w:cs="Arial"/>
        </w:rPr>
        <w:t>,</w:t>
      </w:r>
      <w:r w:rsidRPr="00EF52A7">
        <w:rPr>
          <w:rFonts w:cs="Arial"/>
        </w:rPr>
        <w:t xml:space="preserve"> </w:t>
      </w:r>
      <w:r w:rsidR="004D704D">
        <w:rPr>
          <w:rFonts w:cs="Arial"/>
        </w:rPr>
        <w:t>s</w:t>
      </w:r>
      <w:r w:rsidRPr="00EF52A7">
        <w:rPr>
          <w:rFonts w:cs="Arial"/>
        </w:rPr>
        <w:t>ection 11</w:t>
      </w:r>
      <w:r>
        <w:rPr>
          <w:rFonts w:cs="Arial"/>
        </w:rPr>
        <w:t>26</w:t>
      </w:r>
      <w:r w:rsidRPr="00EF52A7">
        <w:rPr>
          <w:rFonts w:cs="Arial"/>
        </w:rPr>
        <w:t>A</w:t>
      </w:r>
      <w:r>
        <w:rPr>
          <w:rFonts w:cs="Arial"/>
        </w:rPr>
        <w:t>.5</w:t>
      </w:r>
      <w:r w:rsidR="004D704D">
        <w:rPr>
          <w:rFonts w:cs="Arial"/>
        </w:rPr>
        <w:t>,</w:t>
      </w:r>
      <w:r w:rsidRPr="00EF52A7">
        <w:rPr>
          <w:rFonts w:cs="Arial"/>
        </w:rPr>
        <w:t xml:space="preserve"> </w:t>
      </w:r>
      <w:r>
        <w:rPr>
          <w:rFonts w:cs="Arial"/>
        </w:rPr>
        <w:t xml:space="preserve">to Section 1012.9 </w:t>
      </w:r>
      <w:r w:rsidRPr="00EF52A7">
        <w:rPr>
          <w:rFonts w:cs="Arial"/>
        </w:rPr>
        <w:t xml:space="preserve">was </w:t>
      </w:r>
      <w:r>
        <w:rPr>
          <w:rFonts w:cs="Arial"/>
        </w:rPr>
        <w:t>inadvertently left in and is now being proposed to be updated to Section 1014.9.</w:t>
      </w:r>
      <w:r w:rsidR="004D704D" w:rsidRPr="004D704D">
        <w:rPr>
          <w:rFonts w:cs="Arial"/>
        </w:rPr>
        <w:t xml:space="preserve"> </w:t>
      </w:r>
      <w:r w:rsidR="004D704D">
        <w:rPr>
          <w:rFonts w:cs="Arial"/>
        </w:rPr>
        <w:t>This is an editorial change and t</w:t>
      </w:r>
      <w:r w:rsidR="004D704D" w:rsidRPr="006C1E3D">
        <w:rPr>
          <w:rFonts w:cs="Arial"/>
        </w:rPr>
        <w:t xml:space="preserve">here is no intended change in regulatory </w:t>
      </w:r>
      <w:r w:rsidR="004D704D" w:rsidRPr="00003CF9">
        <w:rPr>
          <w:rFonts w:cs="Arial"/>
          <w:szCs w:val="24"/>
        </w:rPr>
        <w:t>effect</w:t>
      </w:r>
      <w:r w:rsidR="004D704D">
        <w:rPr>
          <w:rFonts w:cs="Arial"/>
          <w:szCs w:val="24"/>
        </w:rPr>
        <w:t>.</w:t>
      </w:r>
    </w:p>
    <w:p w14:paraId="503023A8" w14:textId="77777777" w:rsidR="00E07590" w:rsidRDefault="00E07590" w:rsidP="00966978">
      <w:pPr>
        <w:widowControl/>
        <w:pBdr>
          <w:bottom w:val="single" w:sz="24" w:space="1" w:color="auto"/>
        </w:pBdr>
        <w:spacing w:before="120"/>
        <w:rPr>
          <w:rFonts w:cs="Arial"/>
          <w:szCs w:val="24"/>
        </w:rPr>
      </w:pPr>
    </w:p>
    <w:p w14:paraId="5348A52D" w14:textId="67E98BF5" w:rsidR="00AC7F1D" w:rsidRPr="00AD67B3" w:rsidRDefault="00AC7F1D" w:rsidP="00AC7F1D">
      <w:pPr>
        <w:pStyle w:val="Heading3"/>
        <w:rPr>
          <w:noProof/>
          <w:highlight w:val="lightGray"/>
        </w:rPr>
      </w:pPr>
      <w:r w:rsidRPr="00AD67B3">
        <w:t xml:space="preserve">ITEM </w:t>
      </w:r>
      <w:r w:rsidR="00314CF6">
        <w:t>8</w:t>
      </w:r>
      <w:r>
        <w:br/>
      </w:r>
      <w:r w:rsidRPr="00AD67B3">
        <w:t xml:space="preserve">Chapter </w:t>
      </w:r>
      <w:r w:rsidRPr="02A7658F">
        <w:rPr>
          <w:rFonts w:eastAsia="Arial" w:cs="Arial"/>
        </w:rPr>
        <w:t>11A Housing Accessibility</w:t>
      </w:r>
      <w:r>
        <w:rPr>
          <w:rFonts w:eastAsia="Arial" w:cs="Arial"/>
        </w:rPr>
        <w:t xml:space="preserve">, </w:t>
      </w:r>
      <w:r w:rsidRPr="00AD67B3">
        <w:t xml:space="preserve">Section </w:t>
      </w:r>
      <w:r w:rsidRPr="00520FF0">
        <w:rPr>
          <w:i/>
          <w:iCs/>
        </w:rPr>
        <w:t>1125A.1 Warning curbs</w:t>
      </w:r>
      <w:r w:rsidRPr="00FC42E4">
        <w:rPr>
          <w:i/>
          <w:iCs/>
        </w:rPr>
        <w:t>.</w:t>
      </w:r>
    </w:p>
    <w:p w14:paraId="21B518A8" w14:textId="77777777" w:rsidR="00AC7F1D" w:rsidRPr="00113B0D" w:rsidRDefault="00AC7F1D" w:rsidP="00AC7F1D">
      <w:r w:rsidRPr="00356492">
        <w:rPr>
          <w:b/>
          <w:bCs/>
          <w:i/>
          <w:iCs/>
        </w:rPr>
        <w:t>1125A.1 Warning curbs</w:t>
      </w:r>
      <w:r w:rsidRPr="00356492">
        <w:rPr>
          <w:i/>
          <w:iCs/>
        </w:rPr>
        <w:t>. Abrupt changes in level exceeding</w:t>
      </w:r>
      <w:r>
        <w:rPr>
          <w:i/>
          <w:iCs/>
        </w:rPr>
        <w:t xml:space="preserve"> </w:t>
      </w:r>
      <w:r w:rsidRPr="00356492">
        <w:rPr>
          <w:i/>
          <w:iCs/>
        </w:rPr>
        <w:t>4 inches (101.6 mm) in vertical dimension, such as changes</w:t>
      </w:r>
      <w:r>
        <w:rPr>
          <w:i/>
          <w:iCs/>
        </w:rPr>
        <w:t xml:space="preserve"> </w:t>
      </w:r>
      <w:r w:rsidRPr="00356492">
        <w:rPr>
          <w:i/>
          <w:iCs/>
        </w:rPr>
        <w:t>in level at planters or fountains located in or adjacent to</w:t>
      </w:r>
      <w:r>
        <w:rPr>
          <w:i/>
          <w:iCs/>
        </w:rPr>
        <w:t xml:space="preserve"> </w:t>
      </w:r>
      <w:r w:rsidRPr="00356492">
        <w:rPr>
          <w:i/>
          <w:iCs/>
        </w:rPr>
        <w:t>walks, halls, corridors, passageways, aisles, pedestrian</w:t>
      </w:r>
      <w:r>
        <w:rPr>
          <w:i/>
          <w:iCs/>
        </w:rPr>
        <w:t xml:space="preserve"> </w:t>
      </w:r>
      <w:proofErr w:type="gramStart"/>
      <w:r w:rsidRPr="00356492">
        <w:rPr>
          <w:i/>
          <w:iCs/>
        </w:rPr>
        <w:t>ways</w:t>
      </w:r>
      <w:proofErr w:type="gramEnd"/>
      <w:r w:rsidRPr="00356492">
        <w:rPr>
          <w:i/>
          <w:iCs/>
        </w:rPr>
        <w:t xml:space="preserve"> and other circulation spaces shall be identified by</w:t>
      </w:r>
      <w:r>
        <w:rPr>
          <w:i/>
          <w:iCs/>
        </w:rPr>
        <w:t xml:space="preserve"> </w:t>
      </w:r>
      <w:r w:rsidRPr="00356492">
        <w:rPr>
          <w:i/>
          <w:iCs/>
        </w:rPr>
        <w:t>curbs projecting at least 6 inches (152.4 mm) in height</w:t>
      </w:r>
      <w:r>
        <w:rPr>
          <w:i/>
          <w:iCs/>
        </w:rPr>
        <w:t xml:space="preserve"> </w:t>
      </w:r>
      <w:r w:rsidRPr="00356492">
        <w:rPr>
          <w:i/>
          <w:iCs/>
        </w:rPr>
        <w:t>above the walk or sidewalk surface to warn the blind of a</w:t>
      </w:r>
      <w:r>
        <w:rPr>
          <w:i/>
          <w:iCs/>
        </w:rPr>
        <w:t xml:space="preserve"> </w:t>
      </w:r>
      <w:r w:rsidRPr="00356492">
        <w:rPr>
          <w:i/>
          <w:iCs/>
        </w:rPr>
        <w:t>potential drop-off.</w:t>
      </w:r>
      <w:r>
        <w:rPr>
          <w:i/>
          <w:iCs/>
        </w:rPr>
        <w:t xml:space="preserve"> </w:t>
      </w:r>
      <w:r w:rsidRPr="00113B0D">
        <w:t>(No change to existing California amendment.)</w:t>
      </w:r>
    </w:p>
    <w:p w14:paraId="3B7FA29F" w14:textId="6D1EB510" w:rsidR="00AC7F1D" w:rsidRPr="002A6413" w:rsidRDefault="00AC7F1D" w:rsidP="001F2463">
      <w:pPr>
        <w:spacing w:after="480"/>
        <w:ind w:left="720"/>
      </w:pPr>
      <w:r w:rsidRPr="00356492">
        <w:rPr>
          <w:b/>
          <w:bCs/>
          <w:i/>
          <w:iCs/>
        </w:rPr>
        <w:t>Exception</w:t>
      </w:r>
      <w:r w:rsidRPr="00356492">
        <w:rPr>
          <w:i/>
          <w:iCs/>
        </w:rPr>
        <w:t>: When a guardrail or handrail is provided with</w:t>
      </w:r>
      <w:r>
        <w:rPr>
          <w:i/>
          <w:iCs/>
        </w:rPr>
        <w:t xml:space="preserve"> </w:t>
      </w:r>
      <w:r w:rsidRPr="00356492">
        <w:rPr>
          <w:i/>
          <w:iCs/>
        </w:rPr>
        <w:t xml:space="preserve">edge protection in accordance with </w:t>
      </w:r>
      <w:r w:rsidRPr="00571483">
        <w:rPr>
          <w:i/>
          <w:iCs/>
        </w:rPr>
        <w:t>Section</w:t>
      </w:r>
      <w:r w:rsidRPr="00356492">
        <w:rPr>
          <w:i/>
          <w:iCs/>
          <w:strike/>
        </w:rPr>
        <w:t xml:space="preserve"> 1010.10.1</w:t>
      </w:r>
      <w:r w:rsidRPr="00314CF6">
        <w:rPr>
          <w:i/>
          <w:iCs/>
        </w:rPr>
        <w:t xml:space="preserve"> </w:t>
      </w:r>
      <w:r w:rsidRPr="00015626">
        <w:rPr>
          <w:i/>
          <w:iCs/>
          <w:u w:val="single"/>
        </w:rPr>
        <w:t>10</w:t>
      </w:r>
      <w:r w:rsidR="00314CF6">
        <w:rPr>
          <w:i/>
          <w:iCs/>
          <w:u w:val="single"/>
        </w:rPr>
        <w:t>12.10.1</w:t>
      </w:r>
      <w:r w:rsidRPr="00356492">
        <w:rPr>
          <w:i/>
          <w:iCs/>
        </w:rPr>
        <w:t>.</w:t>
      </w:r>
    </w:p>
    <w:p w14:paraId="7AFE8CB5" w14:textId="11D2A1B0" w:rsidR="00CD3CA7" w:rsidRPr="00820971" w:rsidRDefault="00CD3CA7" w:rsidP="001F2463">
      <w:pPr>
        <w:pStyle w:val="Heading4"/>
      </w:pPr>
      <w:r>
        <w:t>Rationale:</w:t>
      </w:r>
    </w:p>
    <w:p w14:paraId="0C1C07DA" w14:textId="5B13146B" w:rsidR="00966978" w:rsidRPr="00EF52A7" w:rsidRDefault="00966978" w:rsidP="001F2463">
      <w:pPr>
        <w:spacing w:after="240"/>
        <w:rPr>
          <w:rFonts w:cs="Arial"/>
        </w:rPr>
      </w:pPr>
      <w:r w:rsidRPr="006C1E3D">
        <w:rPr>
          <w:rFonts w:cs="Arial"/>
        </w:rPr>
        <w:t>During</w:t>
      </w:r>
      <w:r>
        <w:rPr>
          <w:rFonts w:cs="Arial"/>
        </w:rPr>
        <w:t xml:space="preserve"> the</w:t>
      </w:r>
      <w:r w:rsidRPr="006C1E3D">
        <w:rPr>
          <w:rFonts w:cs="Arial"/>
        </w:rPr>
        <w:t xml:space="preserve"> </w:t>
      </w:r>
      <w:r w:rsidRPr="00EF52A7">
        <w:rPr>
          <w:rFonts w:cs="Arial"/>
        </w:rPr>
        <w:t xml:space="preserve">2015 Triennial Code Adoption Cycle, </w:t>
      </w:r>
      <w:r>
        <w:rPr>
          <w:rFonts w:cs="Arial"/>
        </w:rPr>
        <w:t>section</w:t>
      </w:r>
      <w:r w:rsidRPr="00EF52A7">
        <w:rPr>
          <w:rFonts w:cs="Arial"/>
        </w:rPr>
        <w:t xml:space="preserve"> 10</w:t>
      </w:r>
      <w:r>
        <w:rPr>
          <w:rFonts w:cs="Arial"/>
        </w:rPr>
        <w:t>1</w:t>
      </w:r>
      <w:r w:rsidR="004D704D">
        <w:rPr>
          <w:rFonts w:cs="Arial"/>
        </w:rPr>
        <w:t>,</w:t>
      </w:r>
      <w:r>
        <w:rPr>
          <w:rFonts w:cs="Arial"/>
        </w:rPr>
        <w:t>0</w:t>
      </w:r>
      <w:r w:rsidRPr="00EF52A7">
        <w:rPr>
          <w:rFonts w:cs="Arial"/>
        </w:rPr>
        <w:t xml:space="preserve"> </w:t>
      </w:r>
      <w:r>
        <w:rPr>
          <w:rFonts w:cs="Arial"/>
        </w:rPr>
        <w:t>was</w:t>
      </w:r>
      <w:r w:rsidRPr="00EF52A7">
        <w:rPr>
          <w:rFonts w:cs="Arial"/>
        </w:rPr>
        <w:t xml:space="preserve"> re</w:t>
      </w:r>
      <w:r>
        <w:rPr>
          <w:rFonts w:cs="Arial"/>
        </w:rPr>
        <w:t>numbered</w:t>
      </w:r>
      <w:r w:rsidRPr="00EF52A7">
        <w:rPr>
          <w:rFonts w:cs="Arial"/>
        </w:rPr>
        <w:t xml:space="preserve"> to align with the changes made to section numbers in the </w:t>
      </w:r>
      <w:r>
        <w:rPr>
          <w:rFonts w:cs="Arial"/>
        </w:rPr>
        <w:t>IBC</w:t>
      </w:r>
      <w:r w:rsidRPr="00EF52A7">
        <w:rPr>
          <w:rFonts w:cs="Arial"/>
        </w:rPr>
        <w:t>. However, the reference in Chapter 11A</w:t>
      </w:r>
      <w:r>
        <w:rPr>
          <w:rFonts w:cs="Arial"/>
        </w:rPr>
        <w:t>,</w:t>
      </w:r>
      <w:r w:rsidRPr="00EF52A7">
        <w:rPr>
          <w:rFonts w:cs="Arial"/>
        </w:rPr>
        <w:t xml:space="preserve"> </w:t>
      </w:r>
      <w:r w:rsidR="004D704D">
        <w:rPr>
          <w:rFonts w:cs="Arial"/>
        </w:rPr>
        <w:t>s</w:t>
      </w:r>
      <w:r w:rsidRPr="00EF52A7">
        <w:rPr>
          <w:rFonts w:cs="Arial"/>
        </w:rPr>
        <w:t>ection 11</w:t>
      </w:r>
      <w:r>
        <w:rPr>
          <w:rFonts w:cs="Arial"/>
        </w:rPr>
        <w:t>25</w:t>
      </w:r>
      <w:r w:rsidRPr="00EF52A7">
        <w:rPr>
          <w:rFonts w:cs="Arial"/>
        </w:rPr>
        <w:t>A</w:t>
      </w:r>
      <w:r>
        <w:rPr>
          <w:rFonts w:cs="Arial"/>
        </w:rPr>
        <w:t>.1</w:t>
      </w:r>
      <w:r w:rsidR="004D704D">
        <w:rPr>
          <w:rFonts w:cs="Arial"/>
        </w:rPr>
        <w:t>,</w:t>
      </w:r>
      <w:r w:rsidRPr="00EF52A7">
        <w:rPr>
          <w:rFonts w:cs="Arial"/>
        </w:rPr>
        <w:t xml:space="preserve"> </w:t>
      </w:r>
      <w:r>
        <w:rPr>
          <w:rFonts w:cs="Arial"/>
        </w:rPr>
        <w:t xml:space="preserve">to </w:t>
      </w:r>
      <w:r w:rsidR="004D704D">
        <w:rPr>
          <w:rFonts w:cs="Arial"/>
        </w:rPr>
        <w:t>s</w:t>
      </w:r>
      <w:r>
        <w:rPr>
          <w:rFonts w:cs="Arial"/>
        </w:rPr>
        <w:t xml:space="preserve">ection 1010.10.1 </w:t>
      </w:r>
      <w:r w:rsidRPr="00EF52A7">
        <w:rPr>
          <w:rFonts w:cs="Arial"/>
        </w:rPr>
        <w:t xml:space="preserve">was </w:t>
      </w:r>
      <w:r>
        <w:rPr>
          <w:rFonts w:cs="Arial"/>
        </w:rPr>
        <w:t xml:space="preserve">inadvertently left in and is now being proposed for updated to </w:t>
      </w:r>
      <w:r w:rsidR="004D704D">
        <w:rPr>
          <w:rFonts w:cs="Arial"/>
        </w:rPr>
        <w:t>s</w:t>
      </w:r>
      <w:r>
        <w:rPr>
          <w:rFonts w:cs="Arial"/>
        </w:rPr>
        <w:t>ection 1012.10.1.</w:t>
      </w:r>
      <w:r w:rsidR="004D704D" w:rsidRPr="004D704D">
        <w:rPr>
          <w:rFonts w:cs="Arial"/>
        </w:rPr>
        <w:t xml:space="preserve"> </w:t>
      </w:r>
      <w:r w:rsidR="004D704D">
        <w:rPr>
          <w:rFonts w:cs="Arial"/>
        </w:rPr>
        <w:t>This is an editorial change and t</w:t>
      </w:r>
      <w:r w:rsidR="004D704D" w:rsidRPr="006C1E3D">
        <w:rPr>
          <w:rFonts w:cs="Arial"/>
        </w:rPr>
        <w:t xml:space="preserve">here is no intended change in regulatory </w:t>
      </w:r>
      <w:r w:rsidR="004D704D" w:rsidRPr="00003CF9">
        <w:rPr>
          <w:rFonts w:cs="Arial"/>
          <w:szCs w:val="24"/>
        </w:rPr>
        <w:t>effect</w:t>
      </w:r>
      <w:r w:rsidR="004D704D">
        <w:rPr>
          <w:rFonts w:cs="Arial"/>
          <w:szCs w:val="24"/>
        </w:rPr>
        <w:t>.</w:t>
      </w:r>
    </w:p>
    <w:p w14:paraId="77B89F8E" w14:textId="77777777" w:rsidR="00E07590" w:rsidRDefault="00E07590" w:rsidP="00966978">
      <w:pPr>
        <w:widowControl/>
        <w:pBdr>
          <w:bottom w:val="single" w:sz="24" w:space="1" w:color="auto"/>
        </w:pBdr>
        <w:spacing w:before="120"/>
        <w:rPr>
          <w:rFonts w:cs="Arial"/>
          <w:szCs w:val="24"/>
        </w:rPr>
      </w:pPr>
    </w:p>
    <w:p w14:paraId="477EEABD" w14:textId="7FAA5535" w:rsidR="00AC7F1D" w:rsidRPr="00AD67B3" w:rsidRDefault="00AC7F1D" w:rsidP="00AC7F1D">
      <w:pPr>
        <w:pStyle w:val="Heading3"/>
        <w:rPr>
          <w:noProof/>
          <w:highlight w:val="lightGray"/>
        </w:rPr>
      </w:pPr>
      <w:r w:rsidRPr="00AD67B3">
        <w:t xml:space="preserve">ITEM </w:t>
      </w:r>
      <w:r w:rsidR="00314CF6">
        <w:t>9</w:t>
      </w:r>
      <w:r>
        <w:br/>
      </w:r>
      <w:r w:rsidRPr="00AD67B3">
        <w:t xml:space="preserve">Chapter </w:t>
      </w:r>
      <w:r w:rsidRPr="02A7658F">
        <w:rPr>
          <w:rFonts w:eastAsia="Arial" w:cs="Arial"/>
        </w:rPr>
        <w:t>11A Housing Accessibility</w:t>
      </w:r>
      <w:r>
        <w:rPr>
          <w:rFonts w:eastAsia="Arial" w:cs="Arial"/>
        </w:rPr>
        <w:t xml:space="preserve">, </w:t>
      </w:r>
      <w:r w:rsidRPr="00AD67B3">
        <w:t xml:space="preserve">Section </w:t>
      </w:r>
      <w:r w:rsidRPr="003A69DA">
        <w:rPr>
          <w:i/>
          <w:iCs/>
        </w:rPr>
        <w:t>1126A</w:t>
      </w:r>
      <w:r w:rsidRPr="001A7C80">
        <w:rPr>
          <w:i/>
          <w:iCs/>
        </w:rPr>
        <w:t>.5 Type of latch and lock</w:t>
      </w:r>
      <w:r>
        <w:rPr>
          <w:i/>
          <w:iCs/>
        </w:rPr>
        <w:t xml:space="preserve">, </w:t>
      </w:r>
    </w:p>
    <w:p w14:paraId="5DD790CF" w14:textId="77777777" w:rsidR="00AC7F1D" w:rsidRDefault="00AC7F1D" w:rsidP="00AC7F1D">
      <w:pPr>
        <w:rPr>
          <w:i/>
          <w:iCs/>
        </w:rPr>
      </w:pPr>
      <w:r w:rsidRPr="001101F9">
        <w:rPr>
          <w:b/>
          <w:bCs/>
          <w:i/>
          <w:iCs/>
        </w:rPr>
        <w:t>1126A.5 Type of latch and lock</w:t>
      </w:r>
      <w:r w:rsidRPr="00F07551">
        <w:rPr>
          <w:i/>
          <w:iCs/>
        </w:rPr>
        <w:t>. The type of latch and lock</w:t>
      </w:r>
      <w:r>
        <w:rPr>
          <w:i/>
          <w:iCs/>
        </w:rPr>
        <w:t xml:space="preserve"> </w:t>
      </w:r>
      <w:r w:rsidRPr="00F07551">
        <w:rPr>
          <w:i/>
          <w:iCs/>
        </w:rPr>
        <w:t>required for all doors or gates shall be in accordance with</w:t>
      </w:r>
      <w:r>
        <w:rPr>
          <w:i/>
          <w:iCs/>
        </w:rPr>
        <w:t xml:space="preserve"> </w:t>
      </w:r>
      <w:r w:rsidRPr="00F07551">
        <w:rPr>
          <w:i/>
          <w:iCs/>
        </w:rPr>
        <w:t>Section 1126A.6 and Chapter 10</w:t>
      </w:r>
      <w:r w:rsidRPr="00F479D6">
        <w:rPr>
          <w:i/>
          <w:iCs/>
          <w:strike/>
        </w:rPr>
        <w:t xml:space="preserve">, </w:t>
      </w:r>
      <w:r w:rsidRPr="00AD4A5E">
        <w:rPr>
          <w:i/>
          <w:iCs/>
          <w:strike/>
        </w:rPr>
        <w:t>Section 1008</w:t>
      </w:r>
      <w:r w:rsidRPr="001B2C7B">
        <w:rPr>
          <w:i/>
          <w:iCs/>
        </w:rPr>
        <w:t>.</w:t>
      </w:r>
    </w:p>
    <w:p w14:paraId="2932982E" w14:textId="75AEC528" w:rsidR="00CD3CA7" w:rsidRPr="00820971" w:rsidRDefault="00CD3CA7" w:rsidP="001F2463">
      <w:pPr>
        <w:pStyle w:val="Heading4"/>
      </w:pPr>
      <w:r>
        <w:lastRenderedPageBreak/>
        <w:t>Rationale:</w:t>
      </w:r>
    </w:p>
    <w:p w14:paraId="000A5E71" w14:textId="30CF239B" w:rsidR="00966978" w:rsidRPr="00EF52A7" w:rsidRDefault="00966978" w:rsidP="00966978">
      <w:pPr>
        <w:rPr>
          <w:rFonts w:cs="Arial"/>
        </w:rPr>
      </w:pPr>
      <w:r w:rsidRPr="006C1E3D">
        <w:rPr>
          <w:rFonts w:cs="Arial"/>
        </w:rPr>
        <w:t>During</w:t>
      </w:r>
      <w:r>
        <w:rPr>
          <w:rFonts w:cs="Arial"/>
        </w:rPr>
        <w:t xml:space="preserve"> the</w:t>
      </w:r>
      <w:r w:rsidRPr="006C1E3D">
        <w:rPr>
          <w:rFonts w:cs="Arial"/>
        </w:rPr>
        <w:t xml:space="preserve"> </w:t>
      </w:r>
      <w:r w:rsidRPr="00EF52A7">
        <w:rPr>
          <w:rFonts w:cs="Arial"/>
        </w:rPr>
        <w:t xml:space="preserve">2015 Triennial Code Adoption Cycle, </w:t>
      </w:r>
      <w:r>
        <w:rPr>
          <w:rFonts w:cs="Arial"/>
        </w:rPr>
        <w:t>section</w:t>
      </w:r>
      <w:r w:rsidRPr="00EF52A7">
        <w:rPr>
          <w:rFonts w:cs="Arial"/>
        </w:rPr>
        <w:t xml:space="preserve"> 100</w:t>
      </w:r>
      <w:r>
        <w:rPr>
          <w:rFonts w:cs="Arial"/>
        </w:rPr>
        <w:t>8</w:t>
      </w:r>
      <w:r w:rsidR="004D704D">
        <w:rPr>
          <w:rFonts w:cs="Arial"/>
        </w:rPr>
        <w:t>,</w:t>
      </w:r>
      <w:r w:rsidRPr="00EF52A7">
        <w:rPr>
          <w:rFonts w:cs="Arial"/>
        </w:rPr>
        <w:t xml:space="preserve"> </w:t>
      </w:r>
      <w:r>
        <w:rPr>
          <w:rFonts w:cs="Arial"/>
        </w:rPr>
        <w:t>was</w:t>
      </w:r>
      <w:r w:rsidRPr="00EF52A7">
        <w:rPr>
          <w:rFonts w:cs="Arial"/>
        </w:rPr>
        <w:t xml:space="preserve"> re</w:t>
      </w:r>
      <w:r>
        <w:rPr>
          <w:rFonts w:cs="Arial"/>
        </w:rPr>
        <w:t>numbered</w:t>
      </w:r>
      <w:r w:rsidRPr="00EF52A7">
        <w:rPr>
          <w:rFonts w:cs="Arial"/>
        </w:rPr>
        <w:t xml:space="preserve"> to align with the changes made to section numbers in the </w:t>
      </w:r>
      <w:r>
        <w:rPr>
          <w:rFonts w:cs="Arial"/>
        </w:rPr>
        <w:t>IBC</w:t>
      </w:r>
      <w:r w:rsidRPr="00EF52A7">
        <w:rPr>
          <w:rFonts w:cs="Arial"/>
        </w:rPr>
        <w:t>. However, the reference in Chapter 11A</w:t>
      </w:r>
      <w:r>
        <w:rPr>
          <w:rFonts w:cs="Arial"/>
        </w:rPr>
        <w:t>,</w:t>
      </w:r>
      <w:r w:rsidRPr="00EF52A7">
        <w:rPr>
          <w:rFonts w:cs="Arial"/>
        </w:rPr>
        <w:t xml:space="preserve"> </w:t>
      </w:r>
      <w:r>
        <w:rPr>
          <w:rFonts w:cs="Arial"/>
        </w:rPr>
        <w:t>S</w:t>
      </w:r>
      <w:r w:rsidRPr="00EF52A7">
        <w:rPr>
          <w:rFonts w:cs="Arial"/>
        </w:rPr>
        <w:t>ection 11</w:t>
      </w:r>
      <w:r>
        <w:rPr>
          <w:rFonts w:cs="Arial"/>
        </w:rPr>
        <w:t>26</w:t>
      </w:r>
      <w:r w:rsidRPr="00EF52A7">
        <w:rPr>
          <w:rFonts w:cs="Arial"/>
        </w:rPr>
        <w:t>A</w:t>
      </w:r>
      <w:r>
        <w:rPr>
          <w:rFonts w:cs="Arial"/>
        </w:rPr>
        <w:t>.5</w:t>
      </w:r>
      <w:r w:rsidR="004D704D">
        <w:rPr>
          <w:rFonts w:cs="Arial"/>
        </w:rPr>
        <w:t>,</w:t>
      </w:r>
      <w:r w:rsidRPr="00EF52A7">
        <w:rPr>
          <w:rFonts w:cs="Arial"/>
        </w:rPr>
        <w:t xml:space="preserve"> </w:t>
      </w:r>
      <w:r>
        <w:rPr>
          <w:rFonts w:cs="Arial"/>
        </w:rPr>
        <w:t xml:space="preserve">to Section 1008 </w:t>
      </w:r>
      <w:r w:rsidRPr="00EF52A7">
        <w:rPr>
          <w:rFonts w:cs="Arial"/>
        </w:rPr>
        <w:t xml:space="preserve">was </w:t>
      </w:r>
      <w:r>
        <w:rPr>
          <w:rFonts w:cs="Arial"/>
        </w:rPr>
        <w:t>inadvertently left in and is now being proposed for removal.</w:t>
      </w:r>
    </w:p>
    <w:p w14:paraId="28D5B559" w14:textId="327DF3D4" w:rsidR="00966978" w:rsidRDefault="00966978" w:rsidP="00966978">
      <w:pPr>
        <w:rPr>
          <w:rFonts w:cs="Arial"/>
        </w:rPr>
      </w:pPr>
      <w:r w:rsidRPr="00EF52A7">
        <w:rPr>
          <w:rFonts w:cs="Arial"/>
        </w:rPr>
        <w:t xml:space="preserve">Due to continuous changes to </w:t>
      </w:r>
      <w:r w:rsidRPr="5853E8DF">
        <w:rPr>
          <w:rFonts w:cs="Arial"/>
        </w:rPr>
        <w:t>section numbering throughout the code</w:t>
      </w:r>
      <w:r w:rsidRPr="00EF52A7">
        <w:rPr>
          <w:rFonts w:cs="Arial"/>
        </w:rPr>
        <w:t xml:space="preserve">, HCD proposes to remove the reference to a specific section and </w:t>
      </w:r>
      <w:r w:rsidR="004D704D">
        <w:rPr>
          <w:rFonts w:cs="Arial"/>
        </w:rPr>
        <w:t>only reference</w:t>
      </w:r>
      <w:r w:rsidRPr="00EF52A7">
        <w:rPr>
          <w:rFonts w:cs="Arial"/>
        </w:rPr>
        <w:t xml:space="preserve"> Chapter 10</w:t>
      </w:r>
      <w:r>
        <w:rPr>
          <w:rFonts w:cs="Arial"/>
        </w:rPr>
        <w:t>.</w:t>
      </w:r>
    </w:p>
    <w:p w14:paraId="69D745E3" w14:textId="180B4418" w:rsidR="00AC7F1D" w:rsidRDefault="00966978" w:rsidP="001F2463">
      <w:pPr>
        <w:widowControl/>
        <w:pBdr>
          <w:bottom w:val="single" w:sz="24" w:space="1" w:color="auto"/>
        </w:pBdr>
        <w:spacing w:before="120" w:after="240"/>
        <w:rPr>
          <w:rFonts w:cs="Arial"/>
          <w:szCs w:val="24"/>
        </w:rPr>
      </w:pPr>
      <w:r w:rsidRPr="006C1E3D">
        <w:rPr>
          <w:rFonts w:cs="Arial"/>
        </w:rPr>
        <w:t xml:space="preserve">The proposed amendment provides further clarity to the code user. </w:t>
      </w:r>
      <w:r w:rsidR="004D704D">
        <w:rPr>
          <w:rFonts w:cs="Arial"/>
        </w:rPr>
        <w:t>This is an editorial change and t</w:t>
      </w:r>
      <w:r w:rsidR="004D704D" w:rsidRPr="006C1E3D">
        <w:rPr>
          <w:rFonts w:cs="Arial"/>
        </w:rPr>
        <w:t xml:space="preserve">here is no intended change in regulatory </w:t>
      </w:r>
      <w:r w:rsidR="004D704D" w:rsidRPr="00003CF9">
        <w:rPr>
          <w:rFonts w:cs="Arial"/>
          <w:szCs w:val="24"/>
        </w:rPr>
        <w:t>effect</w:t>
      </w:r>
      <w:r w:rsidR="004D704D">
        <w:rPr>
          <w:rFonts w:cs="Arial"/>
          <w:szCs w:val="24"/>
        </w:rPr>
        <w:t>.</w:t>
      </w:r>
    </w:p>
    <w:p w14:paraId="43E1FAB6" w14:textId="77777777" w:rsidR="00E07590" w:rsidRDefault="00E07590" w:rsidP="00966978">
      <w:pPr>
        <w:widowControl/>
        <w:pBdr>
          <w:bottom w:val="single" w:sz="24" w:space="1" w:color="auto"/>
        </w:pBdr>
        <w:spacing w:before="120"/>
        <w:rPr>
          <w:rFonts w:cs="Arial"/>
          <w:szCs w:val="24"/>
        </w:rPr>
      </w:pPr>
    </w:p>
    <w:p w14:paraId="02A10783" w14:textId="02EC1753" w:rsidR="00AC7F1D" w:rsidRPr="00AD67B3" w:rsidRDefault="00AC7F1D" w:rsidP="00AC7F1D">
      <w:pPr>
        <w:pStyle w:val="Heading3"/>
        <w:rPr>
          <w:noProof/>
          <w:highlight w:val="lightGray"/>
        </w:rPr>
      </w:pPr>
      <w:r w:rsidRPr="00AD67B3">
        <w:t xml:space="preserve">ITEM </w:t>
      </w:r>
      <w:r w:rsidR="00314CF6">
        <w:t>10</w:t>
      </w:r>
      <w:r>
        <w:br/>
      </w:r>
      <w:r w:rsidRPr="00AD67B3">
        <w:t xml:space="preserve">Chapter </w:t>
      </w:r>
      <w:r w:rsidRPr="02A7658F">
        <w:rPr>
          <w:rFonts w:eastAsia="Arial" w:cs="Arial"/>
        </w:rPr>
        <w:t>11A Housing Accessibility</w:t>
      </w:r>
      <w:r>
        <w:rPr>
          <w:rFonts w:eastAsia="Arial" w:cs="Arial"/>
        </w:rPr>
        <w:t xml:space="preserve">, </w:t>
      </w:r>
      <w:r w:rsidRPr="00AD67B3">
        <w:t xml:space="preserve">Section </w:t>
      </w:r>
      <w:r w:rsidRPr="00FC42E4">
        <w:rPr>
          <w:i/>
          <w:iCs/>
        </w:rPr>
        <w:t>1143A.5 Visual characters.</w:t>
      </w:r>
    </w:p>
    <w:p w14:paraId="0991E220" w14:textId="77777777" w:rsidR="00AC7F1D" w:rsidRDefault="00AC7F1D" w:rsidP="00AC7F1D">
      <w:pPr>
        <w:rPr>
          <w:i/>
          <w:iCs/>
        </w:rPr>
      </w:pPr>
      <w:r w:rsidRPr="007A6A3D">
        <w:rPr>
          <w:b/>
          <w:bCs/>
          <w:i/>
          <w:iCs/>
        </w:rPr>
        <w:t>1143A.5 Visual characters</w:t>
      </w:r>
      <w:r w:rsidRPr="00FC42E4">
        <w:rPr>
          <w:i/>
          <w:iCs/>
        </w:rPr>
        <w:t>. Signs with visual characters</w:t>
      </w:r>
      <w:r>
        <w:rPr>
          <w:i/>
          <w:iCs/>
        </w:rPr>
        <w:t xml:space="preserve"> </w:t>
      </w:r>
      <w:r w:rsidRPr="00FC42E4">
        <w:rPr>
          <w:i/>
          <w:iCs/>
        </w:rPr>
        <w:t>shall comply with this section.</w:t>
      </w:r>
    </w:p>
    <w:p w14:paraId="3C9CAC95" w14:textId="77777777" w:rsidR="00AC7F1D" w:rsidRDefault="00AC7F1D" w:rsidP="00AC7F1D">
      <w:pPr>
        <w:ind w:left="720"/>
      </w:pPr>
      <w:r w:rsidRPr="007A6A3D">
        <w:rPr>
          <w:b/>
          <w:bCs/>
          <w:i/>
          <w:iCs/>
        </w:rPr>
        <w:t>1</w:t>
      </w:r>
      <w:r>
        <w:rPr>
          <w:i/>
          <w:iCs/>
        </w:rPr>
        <w:t xml:space="preserve"> </w:t>
      </w:r>
      <w:r w:rsidRPr="007A6A3D">
        <w:t>through</w:t>
      </w:r>
      <w:r>
        <w:rPr>
          <w:i/>
          <w:iCs/>
        </w:rPr>
        <w:t xml:space="preserve"> </w:t>
      </w:r>
      <w:r w:rsidRPr="004C1B73">
        <w:rPr>
          <w:b/>
          <w:bCs/>
          <w:i/>
          <w:iCs/>
        </w:rPr>
        <w:t>4</w:t>
      </w:r>
      <w:r>
        <w:rPr>
          <w:b/>
          <w:bCs/>
          <w:i/>
          <w:iCs/>
        </w:rPr>
        <w:t xml:space="preserve"> (…)</w:t>
      </w:r>
      <w:r>
        <w:rPr>
          <w:i/>
          <w:iCs/>
        </w:rPr>
        <w:t xml:space="preserve"> </w:t>
      </w:r>
      <w:r w:rsidRPr="007A6A3D">
        <w:t>(No change to existing California amendment)</w:t>
      </w:r>
    </w:p>
    <w:p w14:paraId="6195AA7E" w14:textId="77777777" w:rsidR="00AC7F1D" w:rsidRPr="005904DA" w:rsidRDefault="00AC7F1D" w:rsidP="00AC7F1D">
      <w:pPr>
        <w:ind w:left="720"/>
        <w:rPr>
          <w:i/>
          <w:iCs/>
        </w:rPr>
      </w:pPr>
      <w:r w:rsidRPr="005904DA">
        <w:rPr>
          <w:b/>
          <w:bCs/>
        </w:rPr>
        <w:t>5</w:t>
      </w:r>
      <w:r>
        <w:t xml:space="preserve">. </w:t>
      </w:r>
      <w:r w:rsidRPr="005904DA">
        <w:rPr>
          <w:i/>
          <w:iCs/>
        </w:rPr>
        <w:t>Height from finish floor. Visual characters shall be 40</w:t>
      </w:r>
      <w:r>
        <w:rPr>
          <w:i/>
          <w:iCs/>
        </w:rPr>
        <w:t xml:space="preserve"> </w:t>
      </w:r>
      <w:r w:rsidRPr="005904DA">
        <w:rPr>
          <w:i/>
          <w:iCs/>
        </w:rPr>
        <w:t>inches (1016 mm) minimum above the finish floor.</w:t>
      </w:r>
      <w:r>
        <w:rPr>
          <w:i/>
          <w:iCs/>
        </w:rPr>
        <w:t xml:space="preserve"> </w:t>
      </w:r>
      <w:r w:rsidRPr="007A6A3D">
        <w:t>(No change to existing California amendment)</w:t>
      </w:r>
    </w:p>
    <w:p w14:paraId="45BA7FDC" w14:textId="77777777" w:rsidR="00AC7F1D" w:rsidRPr="00FF77A7" w:rsidRDefault="00AC7F1D" w:rsidP="00AC7F1D">
      <w:pPr>
        <w:ind w:left="1080"/>
        <w:rPr>
          <w:i/>
          <w:iCs/>
        </w:rPr>
      </w:pPr>
      <w:r w:rsidRPr="00FF77A7">
        <w:rPr>
          <w:b/>
          <w:bCs/>
          <w:i/>
          <w:iCs/>
        </w:rPr>
        <w:t>Exceptions</w:t>
      </w:r>
      <w:r w:rsidRPr="00FF77A7">
        <w:rPr>
          <w:i/>
          <w:iCs/>
        </w:rPr>
        <w:t>:</w:t>
      </w:r>
    </w:p>
    <w:p w14:paraId="1EC7FDD4" w14:textId="77777777" w:rsidR="00AC7F1D" w:rsidRPr="00FF77A7" w:rsidRDefault="00AC7F1D" w:rsidP="00AC7F1D">
      <w:pPr>
        <w:pStyle w:val="ListParagraph"/>
        <w:numPr>
          <w:ilvl w:val="0"/>
          <w:numId w:val="30"/>
        </w:numPr>
        <w:ind w:left="1800"/>
        <w:rPr>
          <w:i/>
          <w:iCs/>
        </w:rPr>
      </w:pPr>
      <w:r w:rsidRPr="00FF77A7">
        <w:rPr>
          <w:i/>
          <w:iCs/>
        </w:rPr>
        <w:t>Visual characters indicating elevator car controls.</w:t>
      </w:r>
      <w:r>
        <w:rPr>
          <w:i/>
          <w:iCs/>
        </w:rPr>
        <w:t xml:space="preserve"> </w:t>
      </w:r>
      <w:r w:rsidRPr="007A6A3D">
        <w:t>(No change to existing</w:t>
      </w:r>
      <w:r>
        <w:t xml:space="preserve"> exception)</w:t>
      </w:r>
    </w:p>
    <w:p w14:paraId="79617EDC" w14:textId="77777777" w:rsidR="00AC7F1D" w:rsidRDefault="00AC7F1D" w:rsidP="001F2463">
      <w:pPr>
        <w:pStyle w:val="ListParagraph"/>
        <w:numPr>
          <w:ilvl w:val="0"/>
          <w:numId w:val="30"/>
        </w:numPr>
        <w:spacing w:after="480"/>
        <w:ind w:left="1800"/>
        <w:rPr>
          <w:i/>
          <w:iCs/>
        </w:rPr>
      </w:pPr>
      <w:r w:rsidRPr="00FF77A7">
        <w:rPr>
          <w:i/>
          <w:iCs/>
        </w:rPr>
        <w:t>Floor-level exit signs complying with Chapter 10</w:t>
      </w:r>
      <w:r w:rsidRPr="004A3160">
        <w:rPr>
          <w:i/>
          <w:iCs/>
          <w:strike/>
        </w:rPr>
        <w:t>,</w:t>
      </w:r>
      <w:r w:rsidRPr="00FF77A7">
        <w:rPr>
          <w:i/>
          <w:iCs/>
        </w:rPr>
        <w:t xml:space="preserve"> </w:t>
      </w:r>
      <w:r w:rsidRPr="00FF77A7">
        <w:rPr>
          <w:i/>
          <w:iCs/>
          <w:strike/>
        </w:rPr>
        <w:t>Section 1011.6</w:t>
      </w:r>
      <w:r w:rsidRPr="00FF77A7">
        <w:rPr>
          <w:i/>
          <w:iCs/>
        </w:rPr>
        <w:t>.</w:t>
      </w:r>
    </w:p>
    <w:p w14:paraId="30BC3233" w14:textId="4CCE8B2A" w:rsidR="00CD3CA7" w:rsidRPr="00820971" w:rsidRDefault="00CD3CA7" w:rsidP="001F2463">
      <w:pPr>
        <w:pStyle w:val="Heading4"/>
      </w:pPr>
      <w:r>
        <w:t>Rationale:</w:t>
      </w:r>
    </w:p>
    <w:p w14:paraId="67609165" w14:textId="099BA3B6" w:rsidR="00966978" w:rsidRPr="00EF52A7" w:rsidRDefault="00966978" w:rsidP="00966978">
      <w:pPr>
        <w:rPr>
          <w:rFonts w:cs="Arial"/>
        </w:rPr>
      </w:pPr>
      <w:r w:rsidRPr="006C1E3D">
        <w:rPr>
          <w:rFonts w:cs="Arial"/>
        </w:rPr>
        <w:t>During</w:t>
      </w:r>
      <w:r>
        <w:rPr>
          <w:rFonts w:cs="Arial"/>
        </w:rPr>
        <w:t xml:space="preserve"> the</w:t>
      </w:r>
      <w:r w:rsidRPr="006C1E3D">
        <w:rPr>
          <w:rFonts w:cs="Arial"/>
        </w:rPr>
        <w:t xml:space="preserve"> </w:t>
      </w:r>
      <w:r w:rsidRPr="00EF52A7">
        <w:rPr>
          <w:rFonts w:cs="Arial"/>
        </w:rPr>
        <w:t xml:space="preserve">2015 Triennial Code Adoption Cycle, </w:t>
      </w:r>
      <w:r>
        <w:rPr>
          <w:rFonts w:cs="Arial"/>
        </w:rPr>
        <w:t>section</w:t>
      </w:r>
      <w:r w:rsidRPr="00EF52A7">
        <w:rPr>
          <w:rFonts w:cs="Arial"/>
        </w:rPr>
        <w:t xml:space="preserve"> 10</w:t>
      </w:r>
      <w:r>
        <w:rPr>
          <w:rFonts w:cs="Arial"/>
        </w:rPr>
        <w:t>11</w:t>
      </w:r>
      <w:r w:rsidR="004D704D">
        <w:rPr>
          <w:rFonts w:cs="Arial"/>
        </w:rPr>
        <w:t>,</w:t>
      </w:r>
      <w:r w:rsidRPr="00EF52A7">
        <w:rPr>
          <w:rFonts w:cs="Arial"/>
        </w:rPr>
        <w:t xml:space="preserve"> </w:t>
      </w:r>
      <w:r>
        <w:rPr>
          <w:rFonts w:cs="Arial"/>
        </w:rPr>
        <w:t>was</w:t>
      </w:r>
      <w:r w:rsidRPr="00EF52A7">
        <w:rPr>
          <w:rFonts w:cs="Arial"/>
        </w:rPr>
        <w:t xml:space="preserve"> re</w:t>
      </w:r>
      <w:r>
        <w:rPr>
          <w:rFonts w:cs="Arial"/>
        </w:rPr>
        <w:t>numbered</w:t>
      </w:r>
      <w:r w:rsidRPr="00EF52A7">
        <w:rPr>
          <w:rFonts w:cs="Arial"/>
        </w:rPr>
        <w:t xml:space="preserve"> to align with the changes made to section numbers in the </w:t>
      </w:r>
      <w:r>
        <w:rPr>
          <w:rFonts w:cs="Arial"/>
        </w:rPr>
        <w:t>IBC</w:t>
      </w:r>
      <w:r w:rsidRPr="00EF52A7">
        <w:rPr>
          <w:rFonts w:cs="Arial"/>
        </w:rPr>
        <w:t>. However, the reference in Chapter 11A</w:t>
      </w:r>
      <w:r>
        <w:rPr>
          <w:rFonts w:cs="Arial"/>
        </w:rPr>
        <w:t>,</w:t>
      </w:r>
      <w:r w:rsidRPr="00EF52A7">
        <w:rPr>
          <w:rFonts w:cs="Arial"/>
        </w:rPr>
        <w:t xml:space="preserve"> </w:t>
      </w:r>
      <w:r w:rsidR="004D704D">
        <w:rPr>
          <w:rFonts w:cs="Arial"/>
        </w:rPr>
        <w:t>s</w:t>
      </w:r>
      <w:r w:rsidRPr="00EF52A7">
        <w:rPr>
          <w:rFonts w:cs="Arial"/>
        </w:rPr>
        <w:t>ection 11</w:t>
      </w:r>
      <w:r>
        <w:rPr>
          <w:rFonts w:cs="Arial"/>
        </w:rPr>
        <w:t>43</w:t>
      </w:r>
      <w:r w:rsidRPr="00EF52A7">
        <w:rPr>
          <w:rFonts w:cs="Arial"/>
        </w:rPr>
        <w:t>A</w:t>
      </w:r>
      <w:r>
        <w:rPr>
          <w:rFonts w:cs="Arial"/>
        </w:rPr>
        <w:t>.5</w:t>
      </w:r>
      <w:r w:rsidR="004D704D">
        <w:rPr>
          <w:rFonts w:cs="Arial"/>
        </w:rPr>
        <w:t>,</w:t>
      </w:r>
      <w:r w:rsidRPr="00EF52A7">
        <w:rPr>
          <w:rFonts w:cs="Arial"/>
        </w:rPr>
        <w:t xml:space="preserve"> </w:t>
      </w:r>
      <w:r>
        <w:rPr>
          <w:rFonts w:cs="Arial"/>
        </w:rPr>
        <w:t xml:space="preserve">to </w:t>
      </w:r>
      <w:r w:rsidR="004D704D">
        <w:rPr>
          <w:rFonts w:cs="Arial"/>
        </w:rPr>
        <w:t>s</w:t>
      </w:r>
      <w:r>
        <w:rPr>
          <w:rFonts w:cs="Arial"/>
        </w:rPr>
        <w:t xml:space="preserve">ection 1011.6 </w:t>
      </w:r>
      <w:r w:rsidRPr="00EF52A7">
        <w:rPr>
          <w:rFonts w:cs="Arial"/>
        </w:rPr>
        <w:t xml:space="preserve">was </w:t>
      </w:r>
      <w:r>
        <w:rPr>
          <w:rFonts w:cs="Arial"/>
        </w:rPr>
        <w:t>inadvertently left in and is now being proposed for removal.</w:t>
      </w:r>
    </w:p>
    <w:p w14:paraId="7EB6CC72" w14:textId="2ABD9902" w:rsidR="00966978" w:rsidRDefault="00966978" w:rsidP="00966978">
      <w:pPr>
        <w:rPr>
          <w:rFonts w:cs="Arial"/>
        </w:rPr>
      </w:pPr>
      <w:r w:rsidRPr="00EF52A7">
        <w:rPr>
          <w:rFonts w:cs="Arial"/>
        </w:rPr>
        <w:t xml:space="preserve">Due to continuous changes to </w:t>
      </w:r>
      <w:r w:rsidRPr="5853E8DF">
        <w:rPr>
          <w:rFonts w:cs="Arial"/>
        </w:rPr>
        <w:t>section numbering throughout the code</w:t>
      </w:r>
      <w:r w:rsidRPr="00EF52A7">
        <w:rPr>
          <w:rFonts w:cs="Arial"/>
        </w:rPr>
        <w:t xml:space="preserve">, HCD proposes to remove the reference to a specific section and </w:t>
      </w:r>
      <w:r w:rsidR="004D704D">
        <w:rPr>
          <w:rFonts w:cs="Arial"/>
        </w:rPr>
        <w:t>only reference</w:t>
      </w:r>
      <w:r w:rsidRPr="00EF52A7">
        <w:rPr>
          <w:rFonts w:cs="Arial"/>
        </w:rPr>
        <w:t xml:space="preserve"> Chapter 10</w:t>
      </w:r>
      <w:r>
        <w:rPr>
          <w:rFonts w:cs="Arial"/>
        </w:rPr>
        <w:t>.</w:t>
      </w:r>
    </w:p>
    <w:p w14:paraId="105D3884" w14:textId="5DD34D48" w:rsidR="00E01F65" w:rsidRPr="00AD67B3" w:rsidRDefault="00966978" w:rsidP="002F5C0F">
      <w:pPr>
        <w:spacing w:before="120"/>
        <w:rPr>
          <w:rFonts w:cs="Arial"/>
        </w:rPr>
      </w:pPr>
      <w:r w:rsidRPr="006C1E3D">
        <w:rPr>
          <w:rFonts w:cs="Arial"/>
        </w:rPr>
        <w:t xml:space="preserve">The proposed amendment provides further clarity to the code user. </w:t>
      </w:r>
      <w:r w:rsidR="004D704D">
        <w:rPr>
          <w:rFonts w:cs="Arial"/>
        </w:rPr>
        <w:t>This is an editorial change and t</w:t>
      </w:r>
      <w:r w:rsidR="004D704D" w:rsidRPr="006C1E3D">
        <w:rPr>
          <w:rFonts w:cs="Arial"/>
        </w:rPr>
        <w:t xml:space="preserve">here is no intended change in regulatory </w:t>
      </w:r>
      <w:r w:rsidR="004D704D" w:rsidRPr="00003CF9">
        <w:rPr>
          <w:rFonts w:cs="Arial"/>
          <w:szCs w:val="24"/>
        </w:rPr>
        <w:t>effect</w:t>
      </w:r>
      <w:r w:rsidR="004D704D">
        <w:rPr>
          <w:rFonts w:cs="Arial"/>
          <w:szCs w:val="24"/>
        </w:rPr>
        <w:t>.</w:t>
      </w:r>
    </w:p>
    <w:sectPr w:rsidR="00E01F65" w:rsidRPr="00AD67B3" w:rsidSect="00957E0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A7EC" w14:textId="77777777" w:rsidR="00E8660C" w:rsidRDefault="00E8660C">
      <w:r>
        <w:separator/>
      </w:r>
    </w:p>
  </w:endnote>
  <w:endnote w:type="continuationSeparator" w:id="0">
    <w:p w14:paraId="20288037" w14:textId="77777777" w:rsidR="00E8660C" w:rsidRDefault="00E8660C">
      <w:r>
        <w:continuationSeparator/>
      </w:r>
    </w:p>
  </w:endnote>
  <w:endnote w:type="continuationNotice" w:id="1">
    <w:p w14:paraId="3705620F" w14:textId="77777777" w:rsidR="00E8660C" w:rsidRDefault="00E866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D3D0" w14:textId="77777777" w:rsidR="00CD3CA7" w:rsidRDefault="00CD3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FBD6" w14:textId="207438F4" w:rsidR="0067477E" w:rsidRDefault="007210A9" w:rsidP="00830ABA">
    <w:pPr>
      <w:pStyle w:val="Footer"/>
      <w:tabs>
        <w:tab w:val="clear" w:pos="4320"/>
        <w:tab w:val="clear" w:pos="8640"/>
        <w:tab w:val="center" w:pos="5040"/>
        <w:tab w:val="right" w:pos="9180"/>
      </w:tabs>
      <w:spacing w:after="0"/>
      <w:ind w:left="108"/>
      <w:rPr>
        <w:sz w:val="16"/>
      </w:rPr>
    </w:pPr>
    <w:r>
      <w:rPr>
        <w:rFonts w:cs="Arial"/>
        <w:sz w:val="16"/>
      </w:rPr>
      <w:t>DRAFT EXPRESS TERMS</w:t>
    </w:r>
    <w:r w:rsidR="00CD3CA7">
      <w:rPr>
        <w:rFonts w:cs="Arial"/>
        <w:sz w:val="16"/>
      </w:rPr>
      <w:t xml:space="preserve"> CBC CHAPTER 11A</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119C" w14:textId="77777777" w:rsidR="00CD3CA7" w:rsidRDefault="00CD3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FE63" w14:textId="77777777" w:rsidR="00E8660C" w:rsidRDefault="00E8660C">
      <w:r>
        <w:separator/>
      </w:r>
    </w:p>
  </w:footnote>
  <w:footnote w:type="continuationSeparator" w:id="0">
    <w:p w14:paraId="48E6438F" w14:textId="77777777" w:rsidR="00E8660C" w:rsidRDefault="00E8660C">
      <w:r>
        <w:continuationSeparator/>
      </w:r>
    </w:p>
  </w:footnote>
  <w:footnote w:type="continuationNotice" w:id="1">
    <w:p w14:paraId="43E3BA27" w14:textId="77777777" w:rsidR="00E8660C" w:rsidRDefault="00E866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6E06" w14:textId="77777777" w:rsidR="00CD3CA7" w:rsidRDefault="00CD3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4BF0" w14:textId="26331FC9" w:rsidR="00B35333" w:rsidRDefault="00BF2DEE" w:rsidP="00CD3CA7">
    <w:pPr>
      <w:pStyle w:val="Header"/>
      <w:tabs>
        <w:tab w:val="clear" w:pos="8640"/>
        <w:tab w:val="right" w:pos="9360"/>
      </w:tabs>
      <w:spacing w:after="0"/>
      <w:jc w:val="both"/>
      <w:rPr>
        <w:rFonts w:ascii="Arial Narrow" w:hAnsi="Arial Narrow"/>
        <w:b/>
        <w:sz w:val="16"/>
        <w:szCs w:val="16"/>
      </w:rPr>
    </w:pPr>
    <w:sdt>
      <w:sdtPr>
        <w:rPr>
          <w:rFonts w:ascii="Arial Narrow" w:hAnsi="Arial Narrow"/>
          <w:b/>
          <w:sz w:val="16"/>
          <w:szCs w:val="16"/>
        </w:rPr>
        <w:id w:val="-253745798"/>
        <w:docPartObj>
          <w:docPartGallery w:val="Watermarks"/>
          <w:docPartUnique/>
        </w:docPartObj>
      </w:sdtPr>
      <w:sdtEndPr/>
      <w:sdtContent>
        <w:r>
          <w:rPr>
            <w:rFonts w:ascii="Arial Narrow" w:hAnsi="Arial Narrow"/>
            <w:b/>
            <w:noProof/>
            <w:sz w:val="16"/>
            <w:szCs w:val="16"/>
          </w:rPr>
          <w:pict w14:anchorId="61A2C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BD17" w14:textId="77777777" w:rsidR="00CD3CA7" w:rsidRDefault="00CD3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A28FB"/>
    <w:multiLevelType w:val="hybridMultilevel"/>
    <w:tmpl w:val="C5CA8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974D6"/>
    <w:multiLevelType w:val="hybridMultilevel"/>
    <w:tmpl w:val="F7FE7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1A1F68"/>
    <w:multiLevelType w:val="hybridMultilevel"/>
    <w:tmpl w:val="3A7641AA"/>
    <w:lvl w:ilvl="0" w:tplc="A3709970">
      <w:start w:val="4"/>
      <w:numFmt w:val="decimal"/>
      <w:lvlText w:val="%1."/>
      <w:lvlJc w:val="left"/>
      <w:pPr>
        <w:ind w:left="720" w:hanging="360"/>
      </w:pPr>
      <w:rPr>
        <w:rFonts w:hint="default"/>
        <w:strike/>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27C58"/>
    <w:multiLevelType w:val="hybridMultilevel"/>
    <w:tmpl w:val="A698BAD0"/>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2C7BAA"/>
    <w:multiLevelType w:val="hybridMultilevel"/>
    <w:tmpl w:val="21A8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D5A6B"/>
    <w:multiLevelType w:val="hybridMultilevel"/>
    <w:tmpl w:val="A698BAD0"/>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8372EC"/>
    <w:multiLevelType w:val="hybridMultilevel"/>
    <w:tmpl w:val="1C10DCF0"/>
    <w:lvl w:ilvl="0" w:tplc="641C1498">
      <w:start w:val="10"/>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91D59"/>
    <w:multiLevelType w:val="hybridMultilevel"/>
    <w:tmpl w:val="17BCE6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5127BF"/>
    <w:multiLevelType w:val="hybridMultilevel"/>
    <w:tmpl w:val="F6DCE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75677"/>
    <w:multiLevelType w:val="hybridMultilevel"/>
    <w:tmpl w:val="1D1C30E0"/>
    <w:lvl w:ilvl="0" w:tplc="730E4B7C">
      <w:start w:val="1"/>
      <w:numFmt w:val="decimal"/>
      <w:lvlText w:val="%1."/>
      <w:lvlJc w:val="left"/>
      <w:pPr>
        <w:ind w:left="720" w:hanging="360"/>
      </w:pPr>
      <w:rPr>
        <w:rFonts w:hint="default"/>
        <w:strike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12A45"/>
    <w:multiLevelType w:val="hybridMultilevel"/>
    <w:tmpl w:val="96FA8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D06DD"/>
    <w:multiLevelType w:val="hybridMultilevel"/>
    <w:tmpl w:val="AA74BC7E"/>
    <w:lvl w:ilvl="0" w:tplc="FFFFFFFF">
      <w:start w:val="1"/>
      <w:numFmt w:val="decimal"/>
      <w:lvlText w:val="%1."/>
      <w:lvlJc w:val="left"/>
      <w:pPr>
        <w:ind w:left="720" w:hanging="360"/>
      </w:pPr>
      <w:rPr>
        <w:rFonts w:hint="default"/>
        <w:strike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9E1CAE"/>
    <w:multiLevelType w:val="hybridMultilevel"/>
    <w:tmpl w:val="17BC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81AD4"/>
    <w:multiLevelType w:val="hybridMultilevel"/>
    <w:tmpl w:val="A698BAD0"/>
    <w:lvl w:ilvl="0" w:tplc="394CA46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6813593">
    <w:abstractNumId w:val="17"/>
  </w:num>
  <w:num w:numId="2" w16cid:durableId="2092697941">
    <w:abstractNumId w:val="22"/>
  </w:num>
  <w:num w:numId="3" w16cid:durableId="1747069407">
    <w:abstractNumId w:val="23"/>
  </w:num>
  <w:num w:numId="4" w16cid:durableId="1547446300">
    <w:abstractNumId w:val="26"/>
  </w:num>
  <w:num w:numId="5" w16cid:durableId="363791397">
    <w:abstractNumId w:val="18"/>
  </w:num>
  <w:num w:numId="6" w16cid:durableId="24718896">
    <w:abstractNumId w:val="25"/>
  </w:num>
  <w:num w:numId="7" w16cid:durableId="741758413">
    <w:abstractNumId w:val="9"/>
  </w:num>
  <w:num w:numId="8" w16cid:durableId="447970464">
    <w:abstractNumId w:val="7"/>
  </w:num>
  <w:num w:numId="9" w16cid:durableId="154760705">
    <w:abstractNumId w:val="6"/>
  </w:num>
  <w:num w:numId="10" w16cid:durableId="250890929">
    <w:abstractNumId w:val="5"/>
  </w:num>
  <w:num w:numId="11" w16cid:durableId="998580666">
    <w:abstractNumId w:val="4"/>
  </w:num>
  <w:num w:numId="12" w16cid:durableId="660039873">
    <w:abstractNumId w:val="8"/>
  </w:num>
  <w:num w:numId="13" w16cid:durableId="46882073">
    <w:abstractNumId w:val="3"/>
  </w:num>
  <w:num w:numId="14" w16cid:durableId="854156312">
    <w:abstractNumId w:val="2"/>
  </w:num>
  <w:num w:numId="15" w16cid:durableId="1979341248">
    <w:abstractNumId w:val="1"/>
  </w:num>
  <w:num w:numId="16" w16cid:durableId="332800429">
    <w:abstractNumId w:val="0"/>
  </w:num>
  <w:num w:numId="17" w16cid:durableId="1835028172">
    <w:abstractNumId w:val="20"/>
  </w:num>
  <w:num w:numId="18" w16cid:durableId="281155655">
    <w:abstractNumId w:val="14"/>
  </w:num>
  <w:num w:numId="19" w16cid:durableId="1924098871">
    <w:abstractNumId w:val="28"/>
  </w:num>
  <w:num w:numId="20" w16cid:durableId="615063911">
    <w:abstractNumId w:val="19"/>
  </w:num>
  <w:num w:numId="21" w16cid:durableId="2055418923">
    <w:abstractNumId w:val="16"/>
  </w:num>
  <w:num w:numId="22" w16cid:durableId="1837258445">
    <w:abstractNumId w:val="21"/>
  </w:num>
  <w:num w:numId="23" w16cid:durableId="2006592823">
    <w:abstractNumId w:val="27"/>
  </w:num>
  <w:num w:numId="24" w16cid:durableId="740641817">
    <w:abstractNumId w:val="12"/>
  </w:num>
  <w:num w:numId="25" w16cid:durableId="1370766599">
    <w:abstractNumId w:val="10"/>
  </w:num>
  <w:num w:numId="26" w16cid:durableId="547497937">
    <w:abstractNumId w:val="29"/>
  </w:num>
  <w:num w:numId="27" w16cid:durableId="364794557">
    <w:abstractNumId w:val="15"/>
  </w:num>
  <w:num w:numId="28" w16cid:durableId="188950715">
    <w:abstractNumId w:val="13"/>
  </w:num>
  <w:num w:numId="29" w16cid:durableId="691420477">
    <w:abstractNumId w:val="11"/>
  </w:num>
  <w:num w:numId="30" w16cid:durableId="6752272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3902"/>
    <w:rsid w:val="00015626"/>
    <w:rsid w:val="00016692"/>
    <w:rsid w:val="000257AD"/>
    <w:rsid w:val="00033111"/>
    <w:rsid w:val="00046F6C"/>
    <w:rsid w:val="00050DCC"/>
    <w:rsid w:val="0006246A"/>
    <w:rsid w:val="0006349D"/>
    <w:rsid w:val="0007039A"/>
    <w:rsid w:val="00091EB4"/>
    <w:rsid w:val="0009296A"/>
    <w:rsid w:val="000A2D7E"/>
    <w:rsid w:val="000B29A0"/>
    <w:rsid w:val="000B2E18"/>
    <w:rsid w:val="000B592B"/>
    <w:rsid w:val="000E24B4"/>
    <w:rsid w:val="000E6CA0"/>
    <w:rsid w:val="000E7C8E"/>
    <w:rsid w:val="000F25B5"/>
    <w:rsid w:val="001101F9"/>
    <w:rsid w:val="00113B0D"/>
    <w:rsid w:val="001208ED"/>
    <w:rsid w:val="00123F82"/>
    <w:rsid w:val="0012481C"/>
    <w:rsid w:val="001330F5"/>
    <w:rsid w:val="00135E2B"/>
    <w:rsid w:val="00137624"/>
    <w:rsid w:val="00140550"/>
    <w:rsid w:val="00153B81"/>
    <w:rsid w:val="00155A0F"/>
    <w:rsid w:val="001701D4"/>
    <w:rsid w:val="00175449"/>
    <w:rsid w:val="001A2431"/>
    <w:rsid w:val="001A7C80"/>
    <w:rsid w:val="001B2C7B"/>
    <w:rsid w:val="001D1B0A"/>
    <w:rsid w:val="001D221E"/>
    <w:rsid w:val="001E635B"/>
    <w:rsid w:val="001E690C"/>
    <w:rsid w:val="001F2463"/>
    <w:rsid w:val="001F3417"/>
    <w:rsid w:val="00203931"/>
    <w:rsid w:val="002212CC"/>
    <w:rsid w:val="00225825"/>
    <w:rsid w:val="00234A84"/>
    <w:rsid w:val="002362F2"/>
    <w:rsid w:val="002509A1"/>
    <w:rsid w:val="002604E2"/>
    <w:rsid w:val="002718E0"/>
    <w:rsid w:val="0027362E"/>
    <w:rsid w:val="0027764E"/>
    <w:rsid w:val="002856CF"/>
    <w:rsid w:val="002878B7"/>
    <w:rsid w:val="00295702"/>
    <w:rsid w:val="0029577E"/>
    <w:rsid w:val="0029781A"/>
    <w:rsid w:val="002A2507"/>
    <w:rsid w:val="002A4D52"/>
    <w:rsid w:val="002A55E0"/>
    <w:rsid w:val="002A6413"/>
    <w:rsid w:val="002A6700"/>
    <w:rsid w:val="002C03CE"/>
    <w:rsid w:val="002C30BD"/>
    <w:rsid w:val="002C62F7"/>
    <w:rsid w:val="002E03D9"/>
    <w:rsid w:val="002E0F36"/>
    <w:rsid w:val="002E1A44"/>
    <w:rsid w:val="002F066A"/>
    <w:rsid w:val="002F34EB"/>
    <w:rsid w:val="002F5C0F"/>
    <w:rsid w:val="003022AD"/>
    <w:rsid w:val="0030639B"/>
    <w:rsid w:val="00314365"/>
    <w:rsid w:val="00314CF6"/>
    <w:rsid w:val="00333EDF"/>
    <w:rsid w:val="00356492"/>
    <w:rsid w:val="00382225"/>
    <w:rsid w:val="00394567"/>
    <w:rsid w:val="003A5EC5"/>
    <w:rsid w:val="003A69DA"/>
    <w:rsid w:val="003B0AC4"/>
    <w:rsid w:val="003B1B26"/>
    <w:rsid w:val="003D0B15"/>
    <w:rsid w:val="003F78E0"/>
    <w:rsid w:val="003F7FD6"/>
    <w:rsid w:val="00407BE9"/>
    <w:rsid w:val="00416B5C"/>
    <w:rsid w:val="00423B48"/>
    <w:rsid w:val="004259A3"/>
    <w:rsid w:val="004431C0"/>
    <w:rsid w:val="00443BA7"/>
    <w:rsid w:val="00457CDC"/>
    <w:rsid w:val="004624C8"/>
    <w:rsid w:val="00485BA9"/>
    <w:rsid w:val="00486E30"/>
    <w:rsid w:val="004879AD"/>
    <w:rsid w:val="004A129E"/>
    <w:rsid w:val="004A3160"/>
    <w:rsid w:val="004B2AB9"/>
    <w:rsid w:val="004C0306"/>
    <w:rsid w:val="004C16A6"/>
    <w:rsid w:val="004C1B73"/>
    <w:rsid w:val="004C5576"/>
    <w:rsid w:val="004D704D"/>
    <w:rsid w:val="004E2F0C"/>
    <w:rsid w:val="00507BB7"/>
    <w:rsid w:val="00513451"/>
    <w:rsid w:val="00515904"/>
    <w:rsid w:val="00520FF0"/>
    <w:rsid w:val="00531AA1"/>
    <w:rsid w:val="0055785B"/>
    <w:rsid w:val="005614C9"/>
    <w:rsid w:val="00562BB3"/>
    <w:rsid w:val="00564681"/>
    <w:rsid w:val="00566465"/>
    <w:rsid w:val="005706E8"/>
    <w:rsid w:val="00571483"/>
    <w:rsid w:val="00572F34"/>
    <w:rsid w:val="0057726F"/>
    <w:rsid w:val="005859F2"/>
    <w:rsid w:val="005904DA"/>
    <w:rsid w:val="005A2447"/>
    <w:rsid w:val="005A39FE"/>
    <w:rsid w:val="005B14FF"/>
    <w:rsid w:val="005B1810"/>
    <w:rsid w:val="005B39CC"/>
    <w:rsid w:val="005B4417"/>
    <w:rsid w:val="005E162F"/>
    <w:rsid w:val="005E6371"/>
    <w:rsid w:val="005F1F14"/>
    <w:rsid w:val="00601503"/>
    <w:rsid w:val="00631F65"/>
    <w:rsid w:val="00636400"/>
    <w:rsid w:val="00636B4E"/>
    <w:rsid w:val="00644131"/>
    <w:rsid w:val="006445D5"/>
    <w:rsid w:val="0066086F"/>
    <w:rsid w:val="006674EF"/>
    <w:rsid w:val="00674691"/>
    <w:rsid w:val="0067477E"/>
    <w:rsid w:val="00675265"/>
    <w:rsid w:val="00675875"/>
    <w:rsid w:val="00682FE0"/>
    <w:rsid w:val="0069536A"/>
    <w:rsid w:val="006A2DAE"/>
    <w:rsid w:val="006D6B99"/>
    <w:rsid w:val="006D74C1"/>
    <w:rsid w:val="006E3727"/>
    <w:rsid w:val="00700726"/>
    <w:rsid w:val="0070359F"/>
    <w:rsid w:val="00704C9C"/>
    <w:rsid w:val="007105E9"/>
    <w:rsid w:val="00713507"/>
    <w:rsid w:val="00720DFB"/>
    <w:rsid w:val="007210A9"/>
    <w:rsid w:val="00723F31"/>
    <w:rsid w:val="0072564D"/>
    <w:rsid w:val="0072654C"/>
    <w:rsid w:val="007318E3"/>
    <w:rsid w:val="00751561"/>
    <w:rsid w:val="00754D7A"/>
    <w:rsid w:val="00755152"/>
    <w:rsid w:val="00764DDF"/>
    <w:rsid w:val="007751A4"/>
    <w:rsid w:val="007872FD"/>
    <w:rsid w:val="007A6A3D"/>
    <w:rsid w:val="007B012C"/>
    <w:rsid w:val="007B37C6"/>
    <w:rsid w:val="007C0129"/>
    <w:rsid w:val="007D4284"/>
    <w:rsid w:val="007E7D7A"/>
    <w:rsid w:val="007F146B"/>
    <w:rsid w:val="00804846"/>
    <w:rsid w:val="00810A22"/>
    <w:rsid w:val="00813645"/>
    <w:rsid w:val="00820971"/>
    <w:rsid w:val="00823527"/>
    <w:rsid w:val="00830ABA"/>
    <w:rsid w:val="00854D8E"/>
    <w:rsid w:val="0085694E"/>
    <w:rsid w:val="00866236"/>
    <w:rsid w:val="00870778"/>
    <w:rsid w:val="00871885"/>
    <w:rsid w:val="00873295"/>
    <w:rsid w:val="008742AE"/>
    <w:rsid w:val="008A0CC8"/>
    <w:rsid w:val="008A2AC5"/>
    <w:rsid w:val="008A6CD2"/>
    <w:rsid w:val="008B4B9E"/>
    <w:rsid w:val="008B70A8"/>
    <w:rsid w:val="008D4AD2"/>
    <w:rsid w:val="008E0E16"/>
    <w:rsid w:val="008E36A8"/>
    <w:rsid w:val="008E710C"/>
    <w:rsid w:val="00903B96"/>
    <w:rsid w:val="0091463C"/>
    <w:rsid w:val="009156A2"/>
    <w:rsid w:val="00920F3B"/>
    <w:rsid w:val="00921D6C"/>
    <w:rsid w:val="0093210C"/>
    <w:rsid w:val="00932BAD"/>
    <w:rsid w:val="00941B9F"/>
    <w:rsid w:val="00942566"/>
    <w:rsid w:val="00957B54"/>
    <w:rsid w:val="00957E07"/>
    <w:rsid w:val="00966978"/>
    <w:rsid w:val="00972A72"/>
    <w:rsid w:val="0097309B"/>
    <w:rsid w:val="00992CB9"/>
    <w:rsid w:val="009A09B4"/>
    <w:rsid w:val="009A693A"/>
    <w:rsid w:val="009C3A4E"/>
    <w:rsid w:val="009C5E79"/>
    <w:rsid w:val="009D0F77"/>
    <w:rsid w:val="009D1701"/>
    <w:rsid w:val="009E578D"/>
    <w:rsid w:val="009E6B12"/>
    <w:rsid w:val="009E7724"/>
    <w:rsid w:val="00A057B3"/>
    <w:rsid w:val="00A13A88"/>
    <w:rsid w:val="00A21DD3"/>
    <w:rsid w:val="00A30717"/>
    <w:rsid w:val="00A30981"/>
    <w:rsid w:val="00A36B7C"/>
    <w:rsid w:val="00A400C4"/>
    <w:rsid w:val="00A55F98"/>
    <w:rsid w:val="00A60CA1"/>
    <w:rsid w:val="00A653B3"/>
    <w:rsid w:val="00A97432"/>
    <w:rsid w:val="00AA1609"/>
    <w:rsid w:val="00AA21C3"/>
    <w:rsid w:val="00AA51CB"/>
    <w:rsid w:val="00AA72AC"/>
    <w:rsid w:val="00AB51E6"/>
    <w:rsid w:val="00AB67F6"/>
    <w:rsid w:val="00AC1AC4"/>
    <w:rsid w:val="00AC1F10"/>
    <w:rsid w:val="00AC4E78"/>
    <w:rsid w:val="00AC6024"/>
    <w:rsid w:val="00AC7F1D"/>
    <w:rsid w:val="00AD0174"/>
    <w:rsid w:val="00AD3DBC"/>
    <w:rsid w:val="00AD4329"/>
    <w:rsid w:val="00AD4A5E"/>
    <w:rsid w:val="00AD5FF5"/>
    <w:rsid w:val="00AD67B3"/>
    <w:rsid w:val="00AF4E96"/>
    <w:rsid w:val="00B04115"/>
    <w:rsid w:val="00B14E7E"/>
    <w:rsid w:val="00B21B81"/>
    <w:rsid w:val="00B33C42"/>
    <w:rsid w:val="00B35333"/>
    <w:rsid w:val="00B36667"/>
    <w:rsid w:val="00B46D6C"/>
    <w:rsid w:val="00B70204"/>
    <w:rsid w:val="00BA2B72"/>
    <w:rsid w:val="00BA52A0"/>
    <w:rsid w:val="00BB41C6"/>
    <w:rsid w:val="00BC0A2A"/>
    <w:rsid w:val="00BC2C68"/>
    <w:rsid w:val="00BC6914"/>
    <w:rsid w:val="00BC7FAB"/>
    <w:rsid w:val="00BD0020"/>
    <w:rsid w:val="00BD6A83"/>
    <w:rsid w:val="00BE3955"/>
    <w:rsid w:val="00BF2DEE"/>
    <w:rsid w:val="00C001E2"/>
    <w:rsid w:val="00C135E2"/>
    <w:rsid w:val="00C14134"/>
    <w:rsid w:val="00C15A2F"/>
    <w:rsid w:val="00C56B0A"/>
    <w:rsid w:val="00C57320"/>
    <w:rsid w:val="00C64A99"/>
    <w:rsid w:val="00C67B72"/>
    <w:rsid w:val="00C8446A"/>
    <w:rsid w:val="00C8513E"/>
    <w:rsid w:val="00C85267"/>
    <w:rsid w:val="00CC2CDF"/>
    <w:rsid w:val="00CD3CA7"/>
    <w:rsid w:val="00CF3372"/>
    <w:rsid w:val="00D21C01"/>
    <w:rsid w:val="00D2242D"/>
    <w:rsid w:val="00D3652A"/>
    <w:rsid w:val="00D406E8"/>
    <w:rsid w:val="00D707C7"/>
    <w:rsid w:val="00D72A17"/>
    <w:rsid w:val="00D83D0B"/>
    <w:rsid w:val="00D86965"/>
    <w:rsid w:val="00D91AE2"/>
    <w:rsid w:val="00D92728"/>
    <w:rsid w:val="00DA1562"/>
    <w:rsid w:val="00DA35DE"/>
    <w:rsid w:val="00DA4772"/>
    <w:rsid w:val="00DB4F0C"/>
    <w:rsid w:val="00DB5649"/>
    <w:rsid w:val="00DD1F95"/>
    <w:rsid w:val="00DD3551"/>
    <w:rsid w:val="00DE1A32"/>
    <w:rsid w:val="00E01F65"/>
    <w:rsid w:val="00E07590"/>
    <w:rsid w:val="00E1309B"/>
    <w:rsid w:val="00E31670"/>
    <w:rsid w:val="00E35553"/>
    <w:rsid w:val="00E3745F"/>
    <w:rsid w:val="00E3790F"/>
    <w:rsid w:val="00E41F35"/>
    <w:rsid w:val="00E434EC"/>
    <w:rsid w:val="00E505E6"/>
    <w:rsid w:val="00E53D35"/>
    <w:rsid w:val="00E57434"/>
    <w:rsid w:val="00E63331"/>
    <w:rsid w:val="00E64326"/>
    <w:rsid w:val="00E65CE6"/>
    <w:rsid w:val="00E71385"/>
    <w:rsid w:val="00E80470"/>
    <w:rsid w:val="00E8660C"/>
    <w:rsid w:val="00E95161"/>
    <w:rsid w:val="00EB175F"/>
    <w:rsid w:val="00EB2BA3"/>
    <w:rsid w:val="00ED0ADA"/>
    <w:rsid w:val="00EF26E2"/>
    <w:rsid w:val="00F06528"/>
    <w:rsid w:val="00F07551"/>
    <w:rsid w:val="00F152F2"/>
    <w:rsid w:val="00F163D3"/>
    <w:rsid w:val="00F16B3C"/>
    <w:rsid w:val="00F17139"/>
    <w:rsid w:val="00F25DC3"/>
    <w:rsid w:val="00F35194"/>
    <w:rsid w:val="00F42E2C"/>
    <w:rsid w:val="00F43034"/>
    <w:rsid w:val="00F479D6"/>
    <w:rsid w:val="00F768B4"/>
    <w:rsid w:val="00F86789"/>
    <w:rsid w:val="00F94286"/>
    <w:rsid w:val="00F976A1"/>
    <w:rsid w:val="00FB07B0"/>
    <w:rsid w:val="00FB1D64"/>
    <w:rsid w:val="00FB7064"/>
    <w:rsid w:val="00FC42E4"/>
    <w:rsid w:val="00FD2133"/>
    <w:rsid w:val="00FD45EA"/>
    <w:rsid w:val="00FE621F"/>
    <w:rsid w:val="00FF11EA"/>
    <w:rsid w:val="00FF27C8"/>
    <w:rsid w:val="00FF77A7"/>
    <w:rsid w:val="0150BF1F"/>
    <w:rsid w:val="02A7658F"/>
    <w:rsid w:val="0448ACF8"/>
    <w:rsid w:val="047685B7"/>
    <w:rsid w:val="0834E7D2"/>
    <w:rsid w:val="0A15FAEF"/>
    <w:rsid w:val="0CD97C11"/>
    <w:rsid w:val="0FA5F394"/>
    <w:rsid w:val="10DE32BC"/>
    <w:rsid w:val="190E10DB"/>
    <w:rsid w:val="2A46BD28"/>
    <w:rsid w:val="2CAD1C91"/>
    <w:rsid w:val="2F771E89"/>
    <w:rsid w:val="2F87CCF7"/>
    <w:rsid w:val="2FF818A1"/>
    <w:rsid w:val="308C22E8"/>
    <w:rsid w:val="30C53706"/>
    <w:rsid w:val="36D01144"/>
    <w:rsid w:val="371B502D"/>
    <w:rsid w:val="390AF1B6"/>
    <w:rsid w:val="3BC5E6D6"/>
    <w:rsid w:val="3FDB1782"/>
    <w:rsid w:val="408F7808"/>
    <w:rsid w:val="49012D36"/>
    <w:rsid w:val="49ADA86C"/>
    <w:rsid w:val="4A8FB947"/>
    <w:rsid w:val="4E8D4A17"/>
    <w:rsid w:val="51B2F0D3"/>
    <w:rsid w:val="529034B2"/>
    <w:rsid w:val="57E0A712"/>
    <w:rsid w:val="5A2F4A70"/>
    <w:rsid w:val="5E5A3CBB"/>
    <w:rsid w:val="64AC0BE7"/>
    <w:rsid w:val="664200DD"/>
    <w:rsid w:val="684043A7"/>
    <w:rsid w:val="6B0E93A8"/>
    <w:rsid w:val="6EF11F6A"/>
    <w:rsid w:val="6F932A3B"/>
    <w:rsid w:val="75640911"/>
    <w:rsid w:val="7702217A"/>
    <w:rsid w:val="778E0D1B"/>
    <w:rsid w:val="788BE58F"/>
    <w:rsid w:val="7AAC0C52"/>
    <w:rsid w:val="7FEE8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2E21283E-8971-4352-AFEF-14454435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329"/>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1F2463"/>
    <w:pPr>
      <w:spacing w:before="120"/>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1F2463"/>
    <w:rPr>
      <w:rFonts w:ascii="Arial" w:hAnsi="Arial" w:cs="Arial"/>
      <w:b/>
      <w:snapToGrid w:val="0"/>
      <w:sz w:val="24"/>
    </w:rPr>
  </w:style>
  <w:style w:type="paragraph" w:styleId="Revision">
    <w:name w:val="Revision"/>
    <w:hidden/>
    <w:uiPriority w:val="99"/>
    <w:semiHidden/>
    <w:rsid w:val="005B39CC"/>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4F3B3099D8B4CAA1B29DC8159863F" ma:contentTypeVersion="25" ma:contentTypeDescription="Create a new document." ma:contentTypeScope="" ma:versionID="aa2320602cd5c322f76e7224d328a117">
  <xsd:schema xmlns:xsd="http://www.w3.org/2001/XMLSchema" xmlns:xs="http://www.w3.org/2001/XMLSchema" xmlns:p="http://schemas.microsoft.com/office/2006/metadata/properties" xmlns:ns1="http://schemas.microsoft.com/sharepoint/v3" xmlns:ns2="c07fd738-3db2-453b-992d-c337292664a2" xmlns:ns3="467e8a32-a4c8-4d53-8185-0fcd20875a8e" targetNamespace="http://schemas.microsoft.com/office/2006/metadata/properties" ma:root="true" ma:fieldsID="53fd7ab9b99d552113093f93bf4c0903" ns1:_="" ns2:_="" ns3:_="">
    <xsd:import namespace="http://schemas.microsoft.com/sharepoint/v3"/>
    <xsd:import namespace="c07fd738-3db2-453b-992d-c337292664a2"/>
    <xsd:import namespace="467e8a32-a4c8-4d53-8185-0fcd20875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Comment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fd738-3db2-453b-992d-c33729266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Entered in CASAS 5/20/22" ma:format="Dropdown" ma:internalName="Comment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e79fd9-4b62-405e-ad20-4a02e826e1f6}" ma:internalName="TaxCatchAll" ma:showField="CatchAllData" ma:web="467e8a32-a4c8-4d53-8185-0fcd20875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mments xmlns="c07fd738-3db2-453b-992d-c337292664a2" xsi:nil="true"/>
    <TaxCatchAll xmlns="467e8a32-a4c8-4d53-8185-0fcd20875a8e" xsi:nil="true"/>
    <_ip_UnifiedCompliancePolicyProperties xmlns="http://schemas.microsoft.com/sharepoint/v3" xsi:nil="true"/>
    <lcf76f155ced4ddcb4097134ff3c332f xmlns="c07fd738-3db2-453b-992d-c337292664a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6C0A6-1892-4EB9-8424-65CFA0B51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7fd738-3db2-453b-992d-c337292664a2"/>
    <ds:schemaRef ds:uri="467e8a32-a4c8-4d53-8185-0fcd2087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2425E-25F3-472A-8022-74BFA90EFCDC}">
  <ds:schemaRefs>
    <ds:schemaRef ds:uri="http://purl.org/dc/terms/"/>
    <ds:schemaRef ds:uri="c07fd738-3db2-453b-992d-c337292664a2"/>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 ds:uri="http://schemas.microsoft.com/office/infopath/2007/PartnerControls"/>
    <ds:schemaRef ds:uri="467e8a32-a4c8-4d53-8185-0fcd20875a8e"/>
    <ds:schemaRef ds:uri="http://purl.org/dc/dcmitype/"/>
  </ds:schemaRefs>
</ds:datastoreItem>
</file>

<file path=customXml/itemProps3.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4.xml><?xml version="1.0" encoding="utf-8"?>
<ds:datastoreItem xmlns:ds="http://schemas.openxmlformats.org/officeDocument/2006/customXml" ds:itemID="{FB90EE0E-2531-4AB3-89A4-30F9D8B6302C}">
  <ds:schemaRefs>
    <ds:schemaRef ds:uri="http://schemas.microsoft.com/sharepoint/v3/contenttype/forms"/>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2326</Words>
  <Characters>12494</Characters>
  <Application>Microsoft Office Word</Application>
  <DocSecurity>0</DocSecurity>
  <Lines>235</Lines>
  <Paragraphs>94</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California Building Code, Part 2, Chapter 11A - Focus Group Draft Express Terms</dc:title>
  <dc:subject/>
  <dc:creator>California Department of Housing and Community Development;Division of Codes and Standards;State Housing Law Program</dc:creator>
  <cp:keywords>shl; state housing law; hcd; department of housing and community development; ccr; california code of regulations; cbc; california building code; chapter 11a; title 24; focus group; triennial code adoption; 2024 triennial code adoption cycle; cbsc; california building standards commission; part 2; housing accessibility; draft express terms; express terms; et</cp:keywords>
  <cp:lastModifiedBy>Garcia, Shasta@HCD</cp:lastModifiedBy>
  <cp:revision>2</cp:revision>
  <cp:lastPrinted>2020-06-10T21:02:00Z</cp:lastPrinted>
  <dcterms:created xsi:type="dcterms:W3CDTF">2023-08-18T16:40:00Z</dcterms:created>
  <dcterms:modified xsi:type="dcterms:W3CDTF">2023-08-18T16:40:00Z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0x0101007794F3B3099D8B4CAA1B29DC8159863F</vt:lpwstr>
  </property>
  <property fmtid="{D5CDD505-2E9C-101B-9397-08002B2CF9AE}" pid="3" name="MediaServiceImageTags">
    <vt:lpwstr/>
  </property>
</Properties>
</file>