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8FEFB" w14:textId="19D40D3B"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705EAD">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705EAD">
        <w:rPr>
          <w:rFonts w:cs="Arial"/>
        </w:rPr>
        <w:t>CALIFORNIA DEPARTMENT OF HOUSING AND COMMUNITY DEVELOPMENT</w:t>
      </w:r>
      <w:r w:rsidR="00767766" w:rsidRPr="0044593B">
        <w:rPr>
          <w:rFonts w:cs="Arial"/>
        </w:rPr>
        <w:br/>
        <w:t xml:space="preserve">REGARDING THE </w:t>
      </w:r>
      <w:r w:rsidR="00705EAD">
        <w:rPr>
          <w:rFonts w:cs="Arial"/>
        </w:rPr>
        <w:t xml:space="preserve">2025 CALIFORNIA </w:t>
      </w:r>
      <w:r w:rsidR="0015511B">
        <w:rPr>
          <w:rFonts w:cs="Arial"/>
        </w:rPr>
        <w:t xml:space="preserve">GREEN BUILDING STANDARDS </w:t>
      </w:r>
      <w:r w:rsidR="00705EAD">
        <w:rPr>
          <w:rFonts w:cs="Arial"/>
        </w:rPr>
        <w:t>CODE</w:t>
      </w:r>
      <w:r w:rsidR="00767766" w:rsidRPr="0044593B">
        <w:rPr>
          <w:rFonts w:cs="Arial"/>
        </w:rPr>
        <w:t>,</w:t>
      </w:r>
      <w:r w:rsidR="000C7383">
        <w:rPr>
          <w:rFonts w:cs="Arial"/>
        </w:rPr>
        <w:br/>
      </w:r>
      <w:r w:rsidR="00767766" w:rsidRPr="0044593B">
        <w:rPr>
          <w:rFonts w:cs="Arial"/>
        </w:rPr>
        <w:t xml:space="preserve">CALIFORNIA CODE OF REGULATIONS, TITLE 24, PART </w:t>
      </w:r>
      <w:r w:rsidR="0015511B">
        <w:rPr>
          <w:rFonts w:cs="Arial"/>
        </w:rPr>
        <w:t>11</w:t>
      </w:r>
      <w:r w:rsidR="000C7383">
        <w:rPr>
          <w:rFonts w:cs="Arial"/>
        </w:rPr>
        <w:br/>
      </w:r>
      <w:r w:rsidR="00767766" w:rsidRPr="0044593B">
        <w:rPr>
          <w:rFonts w:cs="Arial"/>
          <w:szCs w:val="24"/>
        </w:rPr>
        <w:t>(</w:t>
      </w:r>
      <w:r w:rsidR="003204F7">
        <w:rPr>
          <w:rFonts w:cs="Arial"/>
          <w:szCs w:val="24"/>
        </w:rPr>
        <w:t>HCD 0</w:t>
      </w:r>
      <w:r w:rsidR="0015511B">
        <w:rPr>
          <w:rFonts w:cs="Arial"/>
          <w:szCs w:val="24"/>
        </w:rPr>
        <w:t>4</w:t>
      </w:r>
      <w:r w:rsidR="003204F7">
        <w:rPr>
          <w:rFonts w:cs="Arial"/>
          <w:szCs w:val="24"/>
        </w:rPr>
        <w:t>/24</w:t>
      </w:r>
      <w:r w:rsidR="00767766" w:rsidRPr="0044593B">
        <w:rPr>
          <w:rFonts w:cs="Arial"/>
          <w:szCs w:val="24"/>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66FD83CC" w:rsidR="00D0634D" w:rsidRDefault="00BC5F10" w:rsidP="004F62AE">
      <w:pPr>
        <w:spacing w:after="120"/>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6B276AAD" w14:textId="77777777" w:rsidR="00DC3D1B" w:rsidRPr="0044593B" w:rsidRDefault="00DC3D1B" w:rsidP="00C12EA7">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Pr>
          <w:rFonts w:cs="Arial"/>
          <w:szCs w:val="24"/>
        </w:rPr>
        <w:t>, double strikeout</w:t>
      </w:r>
      <w:r w:rsidRPr="0044593B">
        <w:rPr>
          <w:rFonts w:cs="Arial"/>
          <w:szCs w:val="24"/>
        </w:rPr>
        <w:t xml:space="preserve"> and ellipsis. Double underline will be indicated by parenthetical notes within the text. The notes will not be codified or published in the code.</w:t>
      </w:r>
    </w:p>
    <w:p w14:paraId="502C7FFC" w14:textId="5FF6B024" w:rsidR="007556D6" w:rsidRPr="00AD67B3" w:rsidRDefault="007556D6" w:rsidP="007556D6">
      <w:pPr>
        <w:pStyle w:val="Heading2"/>
        <w:spacing w:after="0"/>
        <w:rPr>
          <w:rFonts w:cs="Arial"/>
        </w:rPr>
      </w:pPr>
      <w:r w:rsidRPr="00AD67B3">
        <w:rPr>
          <w:rFonts w:cs="Arial"/>
        </w:rPr>
        <w:t xml:space="preserve">LEGEND for </w:t>
      </w:r>
      <w:r w:rsidR="00B51F0E">
        <w:rPr>
          <w:rFonts w:cs="Arial"/>
        </w:rPr>
        <w:t xml:space="preserve">ADDENDUM </w:t>
      </w:r>
      <w:r w:rsidR="00077002">
        <w:rPr>
          <w:rFonts w:cs="Arial"/>
        </w:rPr>
        <w:t xml:space="preserve">FINAL </w:t>
      </w:r>
      <w:r w:rsidRPr="00AD67B3">
        <w:rPr>
          <w:rFonts w:cs="Arial"/>
        </w:rPr>
        <w:t xml:space="preserve">EXPRESS TERMS </w:t>
      </w:r>
    </w:p>
    <w:p w14:paraId="3172AF7F" w14:textId="6FB10017" w:rsidR="00E743D5" w:rsidRPr="00AD67B3" w:rsidRDefault="00E743D5" w:rsidP="00E743D5">
      <w:pPr>
        <w:pStyle w:val="ListParagraph"/>
        <w:numPr>
          <w:ilvl w:val="0"/>
          <w:numId w:val="5"/>
        </w:numPr>
        <w:spacing w:after="120"/>
        <w:rPr>
          <w:rFonts w:cs="Arial"/>
        </w:rPr>
      </w:pPr>
      <w:bookmarkStart w:id="0" w:name="_Hlk51751202"/>
      <w:r w:rsidRPr="00AD67B3">
        <w:rPr>
          <w:rFonts w:cs="Arial"/>
        </w:rPr>
        <w:t xml:space="preserve">Existing California amendments appear </w:t>
      </w:r>
      <w:r>
        <w:rPr>
          <w:rFonts w:cs="Arial"/>
        </w:rPr>
        <w:t>upright</w:t>
      </w:r>
    </w:p>
    <w:p w14:paraId="17C365FE" w14:textId="4B48C32C" w:rsidR="00E743D5" w:rsidRPr="00AD67B3" w:rsidRDefault="00E743D5" w:rsidP="00E743D5">
      <w:pPr>
        <w:pStyle w:val="ListParagraph"/>
        <w:numPr>
          <w:ilvl w:val="0"/>
          <w:numId w:val="5"/>
        </w:numPr>
        <w:spacing w:after="120"/>
        <w:rPr>
          <w:rFonts w:cs="Arial"/>
        </w:rPr>
      </w:pPr>
      <w:r>
        <w:rPr>
          <w:rFonts w:cs="Arial"/>
          <w:szCs w:val="24"/>
        </w:rPr>
        <w:t>Proposed</w:t>
      </w:r>
      <w:r w:rsidRPr="00AD67B3">
        <w:rPr>
          <w:rFonts w:cs="Arial"/>
          <w:szCs w:val="24"/>
        </w:rPr>
        <w:t xml:space="preserve"> California amendments appear </w:t>
      </w:r>
      <w:r w:rsidRPr="00AD67B3">
        <w:rPr>
          <w:rFonts w:cs="Arial"/>
          <w:iCs/>
          <w:szCs w:val="24"/>
          <w:u w:val="single"/>
        </w:rPr>
        <w:t>underlined</w:t>
      </w:r>
    </w:p>
    <w:p w14:paraId="3E2C865C" w14:textId="77777777" w:rsidR="00E743D5" w:rsidRPr="00AD67B3" w:rsidRDefault="00E743D5" w:rsidP="00E743D5">
      <w:pPr>
        <w:pStyle w:val="ListParagraph"/>
        <w:numPr>
          <w:ilvl w:val="0"/>
          <w:numId w:val="5"/>
        </w:numPr>
        <w:spacing w:before="120" w:after="120"/>
        <w:rPr>
          <w:rFonts w:cs="Arial"/>
        </w:rPr>
      </w:pPr>
      <w:r w:rsidRPr="00AD67B3">
        <w:rPr>
          <w:rFonts w:cs="Arial"/>
          <w:szCs w:val="24"/>
        </w:rPr>
        <w:t xml:space="preserve">Repealed California language appears </w:t>
      </w:r>
      <w:r w:rsidRPr="00AD67B3">
        <w:rPr>
          <w:rFonts w:cs="Arial"/>
          <w:strike/>
          <w:szCs w:val="24"/>
        </w:rPr>
        <w:t>upright and in strikeout</w:t>
      </w:r>
    </w:p>
    <w:p w14:paraId="0AE546F6" w14:textId="39C65858" w:rsidR="00E743D5" w:rsidRPr="00E743D5" w:rsidRDefault="00E743D5" w:rsidP="00E743D5">
      <w:pPr>
        <w:pStyle w:val="ListParagraph"/>
        <w:numPr>
          <w:ilvl w:val="0"/>
          <w:numId w:val="5"/>
        </w:numPr>
        <w:contextualSpacing w:val="0"/>
        <w:rPr>
          <w:rFonts w:cs="Arial"/>
        </w:rPr>
      </w:pPr>
      <w:r w:rsidRPr="00C8513E">
        <w:t>Ellipsis (...) indicate existing text remains unchange</w:t>
      </w:r>
      <w:r w:rsidRPr="00AD67B3">
        <w:rPr>
          <w:rFonts w:eastAsia="Times New Roman" w:cs="Arial"/>
          <w:lang w:eastAsia="ko-KR"/>
        </w:rPr>
        <w:t>d</w:t>
      </w:r>
    </w:p>
    <w:bookmarkEnd w:id="0"/>
    <w:p w14:paraId="18C7FDE1" w14:textId="6A173106" w:rsidR="00C77F3B" w:rsidRPr="007E02A6" w:rsidRDefault="00C77F3B" w:rsidP="007E02A6">
      <w:pPr>
        <w:pStyle w:val="ListParagraph"/>
        <w:numPr>
          <w:ilvl w:val="0"/>
          <w:numId w:val="5"/>
        </w:numPr>
        <w:contextualSpacing w:val="0"/>
        <w:rPr>
          <w:rFonts w:cs="Arial"/>
        </w:rPr>
      </w:pPr>
      <w:r>
        <w:rPr>
          <w:rFonts w:eastAsia="Times New Roman" w:cs="Arial"/>
          <w:lang w:eastAsia="ko-KR"/>
        </w:rPr>
        <w:t xml:space="preserve">Addendum proposed </w:t>
      </w:r>
      <w:r w:rsidR="00FC34D9">
        <w:rPr>
          <w:rFonts w:eastAsia="Times New Roman" w:cs="Arial"/>
          <w:lang w:eastAsia="ko-KR"/>
        </w:rPr>
        <w:t>California amendments</w:t>
      </w:r>
      <w:r>
        <w:rPr>
          <w:rFonts w:eastAsia="Times New Roman" w:cs="Arial"/>
          <w:lang w:eastAsia="ko-KR"/>
        </w:rPr>
        <w:t xml:space="preserve"> </w:t>
      </w:r>
      <w:r w:rsidR="00E743D5">
        <w:rPr>
          <w:rFonts w:eastAsia="Times New Roman" w:cs="Arial"/>
          <w:lang w:eastAsia="ko-KR"/>
        </w:rPr>
        <w:t>appears in</w:t>
      </w:r>
      <w:r>
        <w:rPr>
          <w:rFonts w:eastAsia="Times New Roman" w:cs="Arial"/>
          <w:lang w:eastAsia="ko-KR"/>
        </w:rPr>
        <w:t xml:space="preserve"> </w:t>
      </w:r>
      <w:r w:rsidRPr="00BA1780">
        <w:rPr>
          <w:rFonts w:eastAsia="Times New Roman" w:cs="Arial"/>
          <w:u w:val="double"/>
          <w:lang w:eastAsia="ko-KR"/>
        </w:rPr>
        <w:t>double underline</w:t>
      </w:r>
    </w:p>
    <w:p w14:paraId="4A997DB7" w14:textId="77777777" w:rsidR="002D5455" w:rsidRPr="00AD67B3" w:rsidRDefault="002D5455" w:rsidP="002D5455">
      <w:pPr>
        <w:pStyle w:val="BodyText3"/>
        <w:pBdr>
          <w:bottom w:val="single" w:sz="4" w:space="1" w:color="auto"/>
        </w:pBdr>
        <w:jc w:val="left"/>
        <w:rPr>
          <w:rFonts w:cs="Arial"/>
          <w:szCs w:val="24"/>
        </w:rPr>
      </w:pPr>
    </w:p>
    <w:p w14:paraId="1B41E922" w14:textId="24DB9F21" w:rsidR="002D5455" w:rsidRPr="002D5455" w:rsidRDefault="002D5455" w:rsidP="002D5455">
      <w:pPr>
        <w:pStyle w:val="Heading2"/>
        <w:spacing w:after="240"/>
      </w:pPr>
      <w:r>
        <w:t xml:space="preserve">ADDENDUM to </w:t>
      </w:r>
      <w:r>
        <w:rPr>
          <w:rFonts w:cs="Arial"/>
        </w:rPr>
        <w:t>FINAL</w:t>
      </w:r>
      <w:r w:rsidRPr="0027688C">
        <w:t xml:space="preserve"> EXPRESS TERMS</w:t>
      </w:r>
      <w:r>
        <w:t xml:space="preserve"> and</w:t>
      </w:r>
      <w:r w:rsidRPr="004F291C">
        <w:t xml:space="preserve"> RATIONALE</w:t>
      </w:r>
    </w:p>
    <w:p w14:paraId="29AFFFE4" w14:textId="7330DCB1" w:rsidR="00CC2B90" w:rsidRPr="00CC2B90" w:rsidRDefault="0096263F" w:rsidP="00DC1923">
      <w:pPr>
        <w:pStyle w:val="Heading3"/>
        <w:rPr>
          <w:vanish/>
          <w:specVanish/>
        </w:rPr>
      </w:pPr>
      <w:r w:rsidRPr="0096263F">
        <w:rPr>
          <w:rFonts w:cs="Arial"/>
          <w:snapToGrid/>
        </w:rPr>
        <w:t>ITEM 2</w:t>
      </w:r>
      <w:r w:rsidRPr="0096263F">
        <w:br/>
      </w:r>
      <w:bookmarkStart w:id="1" w:name="_Hlk182814029"/>
      <w:r w:rsidRPr="0096263F">
        <w:t>Chapter 4 Residential Mandatory Measures, Section 4.106.4.2.2 Multifamily dwellings, hotels and motels</w:t>
      </w:r>
      <w:bookmarkEnd w:id="1"/>
      <w:r w:rsidRPr="0096263F">
        <w:t>.</w:t>
      </w:r>
    </w:p>
    <w:p w14:paraId="7BF2BD1B" w14:textId="5810C1F6" w:rsidR="0096263F" w:rsidRPr="0096263F" w:rsidRDefault="0096263F" w:rsidP="00EA0A1F">
      <w:pPr>
        <w:spacing w:after="240"/>
        <w:rPr>
          <w:rFonts w:eastAsiaTheme="majorEastAsia"/>
        </w:rPr>
      </w:pPr>
      <w:r w:rsidRPr="0096263F">
        <w:rPr>
          <w:rFonts w:eastAsiaTheme="majorEastAsia"/>
        </w:rPr>
        <w:t xml:space="preserve"> </w:t>
      </w:r>
      <w:r w:rsidRPr="00DC1923">
        <w:rPr>
          <w:rFonts w:eastAsiaTheme="majorEastAsia"/>
        </w:rPr>
        <w:t>HCD proposes to continue to adopt the above referenced section with amendments as follows:</w:t>
      </w:r>
    </w:p>
    <w:p w14:paraId="2A4DBD54" w14:textId="77777777" w:rsidR="0096263F" w:rsidRPr="0096263F" w:rsidRDefault="0096263F" w:rsidP="0096263F">
      <w:pPr>
        <w:spacing w:after="120"/>
        <w:rPr>
          <w:rFonts w:eastAsia="Arial" w:cs="Arial"/>
          <w:b/>
          <w:bCs/>
          <w:strike/>
          <w:snapToGrid/>
          <w:szCs w:val="24"/>
        </w:rPr>
      </w:pPr>
      <w:r w:rsidRPr="0096263F">
        <w:rPr>
          <w:rFonts w:eastAsia="Arial" w:cs="Arial"/>
          <w:b/>
          <w:bCs/>
          <w:snapToGrid/>
          <w:szCs w:val="24"/>
        </w:rPr>
        <w:t>4.106.4.2.2 Multifamily dwellings</w:t>
      </w:r>
      <w:r w:rsidRPr="0096263F">
        <w:rPr>
          <w:rFonts w:eastAsia="Arial" w:cs="Arial"/>
          <w:b/>
          <w:strike/>
          <w:snapToGrid/>
          <w:szCs w:val="24"/>
        </w:rPr>
        <w:t xml:space="preserve">, </w:t>
      </w:r>
      <w:r w:rsidRPr="0096263F">
        <w:rPr>
          <w:rFonts w:eastAsia="Arial" w:cs="Arial"/>
          <w:b/>
          <w:bCs/>
          <w:strike/>
          <w:snapToGrid/>
          <w:szCs w:val="24"/>
        </w:rPr>
        <w:t>hotels and motels</w:t>
      </w:r>
      <w:r w:rsidRPr="0096263F">
        <w:rPr>
          <w:rFonts w:eastAsia="Arial" w:cs="Arial"/>
          <w:b/>
          <w:snapToGrid/>
          <w:szCs w:val="24"/>
        </w:rPr>
        <w:t>.</w:t>
      </w:r>
    </w:p>
    <w:p w14:paraId="27C13CD1" w14:textId="123939A0" w:rsidR="00ED3496" w:rsidRPr="002F74F0" w:rsidRDefault="0096263F" w:rsidP="002F74F0">
      <w:pPr>
        <w:pStyle w:val="ListParagraph"/>
        <w:numPr>
          <w:ilvl w:val="0"/>
          <w:numId w:val="37"/>
        </w:numPr>
        <w:autoSpaceDE w:val="0"/>
        <w:autoSpaceDN w:val="0"/>
        <w:spacing w:after="120"/>
        <w:rPr>
          <w:rFonts w:eastAsia="Arial" w:cs="Arial"/>
          <w:b/>
          <w:bCs/>
          <w:snapToGrid/>
          <w:szCs w:val="24"/>
        </w:rPr>
      </w:pPr>
      <w:r w:rsidRPr="002F74F0">
        <w:rPr>
          <w:rFonts w:eastAsia="Arial" w:cs="Arial"/>
          <w:b/>
          <w:bCs/>
          <w:snapToGrid/>
          <w:szCs w:val="24"/>
        </w:rPr>
        <w:t>Ready</w:t>
      </w:r>
      <w:r w:rsidRPr="002F74F0">
        <w:rPr>
          <w:rFonts w:eastAsia="Arial" w:cs="Arial"/>
          <w:b/>
          <w:bCs/>
          <w:snapToGrid/>
          <w:spacing w:val="-2"/>
          <w:szCs w:val="24"/>
        </w:rPr>
        <w:t xml:space="preserve"> </w:t>
      </w:r>
      <w:r w:rsidRPr="002F74F0">
        <w:rPr>
          <w:rFonts w:eastAsia="Arial" w:cs="Arial"/>
          <w:b/>
          <w:bCs/>
          <w:snapToGrid/>
          <w:szCs w:val="24"/>
        </w:rPr>
        <w:t>Parking</w:t>
      </w:r>
      <w:r w:rsidRPr="002F74F0">
        <w:rPr>
          <w:rFonts w:eastAsia="Arial" w:cs="Arial"/>
          <w:b/>
          <w:bCs/>
          <w:snapToGrid/>
          <w:spacing w:val="-2"/>
          <w:szCs w:val="24"/>
        </w:rPr>
        <w:t xml:space="preserve"> </w:t>
      </w:r>
      <w:r w:rsidRPr="002F74F0">
        <w:rPr>
          <w:rFonts w:eastAsia="Arial" w:cs="Arial"/>
          <w:b/>
          <w:bCs/>
          <w:snapToGrid/>
          <w:szCs w:val="24"/>
        </w:rPr>
        <w:t>Spaces</w:t>
      </w:r>
      <w:r w:rsidRPr="002F74F0">
        <w:rPr>
          <w:rFonts w:eastAsia="Arial" w:cs="Arial"/>
          <w:b/>
          <w:bCs/>
          <w:snapToGrid/>
          <w:spacing w:val="-2"/>
          <w:szCs w:val="24"/>
        </w:rPr>
        <w:t xml:space="preserve"> </w:t>
      </w:r>
      <w:r w:rsidRPr="002F74F0">
        <w:rPr>
          <w:rFonts w:eastAsia="Arial" w:cs="Arial"/>
          <w:b/>
          <w:bCs/>
          <w:snapToGrid/>
          <w:szCs w:val="24"/>
        </w:rPr>
        <w:t>with</w:t>
      </w:r>
      <w:r w:rsidRPr="002F74F0">
        <w:rPr>
          <w:rFonts w:eastAsia="Arial" w:cs="Arial"/>
          <w:b/>
          <w:bCs/>
          <w:snapToGrid/>
          <w:spacing w:val="-2"/>
          <w:szCs w:val="24"/>
        </w:rPr>
        <w:t xml:space="preserve"> Receptacles.</w:t>
      </w:r>
      <w:r w:rsidR="00ED3496" w:rsidRPr="002F74F0">
        <w:rPr>
          <w:rFonts w:eastAsia="Arial" w:cs="Arial"/>
          <w:b/>
          <w:bCs/>
          <w:snapToGrid/>
          <w:spacing w:val="-2"/>
          <w:szCs w:val="24"/>
        </w:rPr>
        <w:t xml:space="preserve"> </w:t>
      </w:r>
      <w:r w:rsidR="006F115E">
        <w:rPr>
          <w:rFonts w:eastAsia="Arial" w:cs="Arial"/>
          <w:snapToGrid/>
          <w:spacing w:val="-2"/>
          <w:szCs w:val="24"/>
        </w:rPr>
        <w:t>[no changes to FET proposed]</w:t>
      </w:r>
    </w:p>
    <w:p w14:paraId="3C6EC869" w14:textId="123AC7E7" w:rsidR="0096263F" w:rsidRPr="0096263F" w:rsidRDefault="0096263F" w:rsidP="0096263F">
      <w:pPr>
        <w:numPr>
          <w:ilvl w:val="0"/>
          <w:numId w:val="37"/>
        </w:numPr>
        <w:autoSpaceDE w:val="0"/>
        <w:autoSpaceDN w:val="0"/>
        <w:spacing w:after="120"/>
        <w:rPr>
          <w:rFonts w:eastAsia="Arial" w:cs="Arial"/>
          <w:b/>
          <w:bCs/>
          <w:snapToGrid/>
          <w:szCs w:val="24"/>
        </w:rPr>
      </w:pPr>
      <w:r w:rsidRPr="0096263F">
        <w:rPr>
          <w:rFonts w:eastAsia="Arial" w:cs="Arial"/>
          <w:b/>
          <w:bCs/>
          <w:snapToGrid/>
          <w:szCs w:val="24"/>
        </w:rPr>
        <w:t>EV</w:t>
      </w:r>
      <w:r w:rsidRPr="0096263F">
        <w:rPr>
          <w:rFonts w:eastAsia="Arial" w:cs="Arial"/>
          <w:b/>
          <w:bCs/>
          <w:snapToGrid/>
          <w:spacing w:val="-2"/>
          <w:szCs w:val="24"/>
        </w:rPr>
        <w:t xml:space="preserve"> </w:t>
      </w:r>
      <w:r w:rsidRPr="0096263F">
        <w:rPr>
          <w:rFonts w:eastAsia="Arial" w:cs="Arial"/>
          <w:b/>
          <w:bCs/>
          <w:snapToGrid/>
          <w:szCs w:val="24"/>
        </w:rPr>
        <w:t>Ready</w:t>
      </w:r>
      <w:r w:rsidRPr="0096263F">
        <w:rPr>
          <w:rFonts w:eastAsia="Arial" w:cs="Arial"/>
          <w:b/>
          <w:bCs/>
          <w:snapToGrid/>
          <w:spacing w:val="-2"/>
          <w:szCs w:val="24"/>
        </w:rPr>
        <w:t xml:space="preserve"> </w:t>
      </w:r>
      <w:r w:rsidRPr="0096263F">
        <w:rPr>
          <w:rFonts w:eastAsia="Arial" w:cs="Arial"/>
          <w:b/>
          <w:bCs/>
          <w:snapToGrid/>
          <w:szCs w:val="24"/>
        </w:rPr>
        <w:t>Parking</w:t>
      </w:r>
      <w:r w:rsidRPr="0096263F">
        <w:rPr>
          <w:rFonts w:eastAsia="Arial" w:cs="Arial"/>
          <w:b/>
          <w:bCs/>
          <w:snapToGrid/>
          <w:spacing w:val="-2"/>
          <w:szCs w:val="24"/>
        </w:rPr>
        <w:t xml:space="preserve"> </w:t>
      </w:r>
      <w:r w:rsidRPr="0096263F">
        <w:rPr>
          <w:rFonts w:eastAsia="Arial" w:cs="Arial"/>
          <w:b/>
          <w:bCs/>
          <w:snapToGrid/>
          <w:szCs w:val="24"/>
        </w:rPr>
        <w:t>Spaces</w:t>
      </w:r>
      <w:r w:rsidRPr="0096263F">
        <w:rPr>
          <w:rFonts w:eastAsia="Arial" w:cs="Arial"/>
          <w:b/>
          <w:bCs/>
          <w:snapToGrid/>
          <w:spacing w:val="-2"/>
          <w:szCs w:val="24"/>
        </w:rPr>
        <w:t xml:space="preserve"> </w:t>
      </w:r>
      <w:r w:rsidRPr="0096263F">
        <w:rPr>
          <w:rFonts w:eastAsia="Arial" w:cs="Arial"/>
          <w:b/>
          <w:bCs/>
          <w:snapToGrid/>
          <w:szCs w:val="24"/>
        </w:rPr>
        <w:t>with</w:t>
      </w:r>
      <w:r w:rsidRPr="0096263F">
        <w:rPr>
          <w:rFonts w:eastAsia="Arial" w:cs="Arial"/>
          <w:b/>
          <w:bCs/>
          <w:snapToGrid/>
          <w:spacing w:val="-2"/>
          <w:szCs w:val="24"/>
        </w:rPr>
        <w:t xml:space="preserve"> </w:t>
      </w:r>
      <w:r w:rsidRPr="0096263F">
        <w:rPr>
          <w:rFonts w:eastAsia="Arial" w:cs="Arial"/>
          <w:b/>
          <w:bCs/>
          <w:snapToGrid/>
          <w:szCs w:val="24"/>
        </w:rPr>
        <w:t>EV</w:t>
      </w:r>
      <w:r w:rsidRPr="0096263F">
        <w:rPr>
          <w:rFonts w:eastAsia="Arial" w:cs="Arial"/>
          <w:b/>
          <w:bCs/>
          <w:snapToGrid/>
          <w:spacing w:val="-2"/>
          <w:szCs w:val="24"/>
        </w:rPr>
        <w:t xml:space="preserve"> Chargers.</w:t>
      </w:r>
      <w:r w:rsidR="00ED3496">
        <w:rPr>
          <w:rFonts w:eastAsia="Arial" w:cs="Arial"/>
          <w:b/>
          <w:bCs/>
          <w:snapToGrid/>
          <w:spacing w:val="-2"/>
          <w:szCs w:val="24"/>
        </w:rPr>
        <w:t xml:space="preserve"> </w:t>
      </w:r>
    </w:p>
    <w:p w14:paraId="010B4ABA" w14:textId="77777777" w:rsidR="0096263F" w:rsidRPr="0096263F" w:rsidRDefault="0096263F" w:rsidP="0096263F">
      <w:pPr>
        <w:numPr>
          <w:ilvl w:val="1"/>
          <w:numId w:val="37"/>
        </w:numPr>
        <w:tabs>
          <w:tab w:val="left" w:pos="1218"/>
          <w:tab w:val="left" w:pos="1220"/>
        </w:tabs>
        <w:autoSpaceDE w:val="0"/>
        <w:autoSpaceDN w:val="0"/>
        <w:spacing w:after="120"/>
        <w:ind w:left="1220" w:right="412"/>
        <w:rPr>
          <w:rFonts w:eastAsia="Arial" w:cs="Arial"/>
          <w:strike/>
          <w:snapToGrid/>
          <w:szCs w:val="24"/>
        </w:rPr>
      </w:pPr>
      <w:r w:rsidRPr="0096263F">
        <w:rPr>
          <w:rFonts w:eastAsia="Arial" w:cs="Arial"/>
          <w:b/>
          <w:strike/>
          <w:snapToGrid/>
          <w:szCs w:val="24"/>
        </w:rPr>
        <w:t>Hotels</w:t>
      </w:r>
      <w:r w:rsidRPr="0096263F">
        <w:rPr>
          <w:rFonts w:eastAsia="Arial" w:cs="Arial"/>
          <w:b/>
          <w:strike/>
          <w:snapToGrid/>
          <w:spacing w:val="-1"/>
          <w:szCs w:val="24"/>
        </w:rPr>
        <w:t xml:space="preserve"> </w:t>
      </w:r>
      <w:r w:rsidRPr="0096263F">
        <w:rPr>
          <w:rFonts w:eastAsia="Arial" w:cs="Arial"/>
          <w:b/>
          <w:strike/>
          <w:snapToGrid/>
          <w:szCs w:val="24"/>
        </w:rPr>
        <w:t>and</w:t>
      </w:r>
      <w:r w:rsidRPr="0096263F">
        <w:rPr>
          <w:rFonts w:eastAsia="Arial" w:cs="Arial"/>
          <w:b/>
          <w:strike/>
          <w:snapToGrid/>
          <w:spacing w:val="-1"/>
          <w:szCs w:val="24"/>
        </w:rPr>
        <w:t xml:space="preserve"> </w:t>
      </w:r>
      <w:r w:rsidRPr="0096263F">
        <w:rPr>
          <w:rFonts w:eastAsia="Arial" w:cs="Arial"/>
          <w:b/>
          <w:strike/>
          <w:snapToGrid/>
          <w:szCs w:val="24"/>
        </w:rPr>
        <w:t>Motels.</w:t>
      </w:r>
      <w:r w:rsidRPr="0096263F">
        <w:rPr>
          <w:rFonts w:eastAsia="Arial" w:cs="Arial"/>
          <w:b/>
          <w:strike/>
          <w:snapToGrid/>
          <w:spacing w:val="-2"/>
          <w:szCs w:val="24"/>
        </w:rPr>
        <w:t xml:space="preserve"> </w:t>
      </w:r>
      <w:r w:rsidRPr="0096263F">
        <w:rPr>
          <w:rFonts w:eastAsia="Arial" w:cs="Arial"/>
          <w:strike/>
          <w:snapToGrid/>
          <w:szCs w:val="24"/>
        </w:rPr>
        <w:t>Ten</w:t>
      </w:r>
      <w:r w:rsidRPr="0096263F">
        <w:rPr>
          <w:rFonts w:eastAsia="Arial" w:cs="Arial"/>
          <w:strike/>
          <w:snapToGrid/>
          <w:spacing w:val="-1"/>
          <w:szCs w:val="24"/>
        </w:rPr>
        <w:t xml:space="preserve"> </w:t>
      </w:r>
      <w:r w:rsidRPr="0096263F">
        <w:rPr>
          <w:rFonts w:eastAsia="Arial" w:cs="Arial"/>
          <w:strike/>
          <w:snapToGrid/>
          <w:szCs w:val="24"/>
        </w:rPr>
        <w:t>(10) percent of</w:t>
      </w:r>
      <w:r w:rsidRPr="0096263F">
        <w:rPr>
          <w:rFonts w:eastAsia="Arial" w:cs="Arial"/>
          <w:strike/>
          <w:snapToGrid/>
          <w:spacing w:val="-2"/>
          <w:szCs w:val="24"/>
        </w:rPr>
        <w:t xml:space="preserve"> </w:t>
      </w:r>
      <w:r w:rsidRPr="0096263F">
        <w:rPr>
          <w:rFonts w:eastAsia="Arial" w:cs="Arial"/>
          <w:strike/>
          <w:snapToGrid/>
          <w:szCs w:val="24"/>
        </w:rPr>
        <w:t>the</w:t>
      </w:r>
      <w:r w:rsidRPr="0096263F">
        <w:rPr>
          <w:rFonts w:eastAsia="Arial" w:cs="Arial"/>
          <w:strike/>
          <w:snapToGrid/>
          <w:spacing w:val="-1"/>
          <w:szCs w:val="24"/>
        </w:rPr>
        <w:t xml:space="preserve"> </w:t>
      </w:r>
      <w:r w:rsidRPr="0096263F">
        <w:rPr>
          <w:rFonts w:eastAsia="Arial" w:cs="Arial"/>
          <w:strike/>
          <w:snapToGrid/>
          <w:szCs w:val="24"/>
        </w:rPr>
        <w:t>total</w:t>
      </w:r>
      <w:r w:rsidRPr="0096263F">
        <w:rPr>
          <w:rFonts w:eastAsia="Arial" w:cs="Arial"/>
          <w:strike/>
          <w:snapToGrid/>
          <w:spacing w:val="-1"/>
          <w:szCs w:val="24"/>
        </w:rPr>
        <w:t xml:space="preserve"> </w:t>
      </w:r>
      <w:r w:rsidRPr="0096263F">
        <w:rPr>
          <w:rFonts w:eastAsia="Arial" w:cs="Arial"/>
          <w:strike/>
          <w:snapToGrid/>
          <w:szCs w:val="24"/>
        </w:rPr>
        <w:t>number of parking</w:t>
      </w:r>
      <w:r w:rsidRPr="0096263F">
        <w:rPr>
          <w:rFonts w:eastAsia="Arial" w:cs="Arial"/>
          <w:strike/>
          <w:snapToGrid/>
          <w:spacing w:val="-1"/>
          <w:szCs w:val="24"/>
        </w:rPr>
        <w:t xml:space="preserve"> </w:t>
      </w:r>
      <w:r w:rsidRPr="0096263F">
        <w:rPr>
          <w:rFonts w:eastAsia="Arial" w:cs="Arial"/>
          <w:strike/>
          <w:snapToGrid/>
          <w:szCs w:val="24"/>
        </w:rPr>
        <w:lastRenderedPageBreak/>
        <w:t>spaces shall</w:t>
      </w:r>
      <w:r w:rsidRPr="0096263F">
        <w:rPr>
          <w:rFonts w:eastAsia="Arial" w:cs="Arial"/>
          <w:strike/>
          <w:snapToGrid/>
          <w:spacing w:val="-3"/>
          <w:szCs w:val="24"/>
        </w:rPr>
        <w:t xml:space="preserve"> </w:t>
      </w:r>
      <w:r w:rsidRPr="0096263F">
        <w:rPr>
          <w:rFonts w:eastAsia="Arial" w:cs="Arial"/>
          <w:strike/>
          <w:snapToGrid/>
          <w:szCs w:val="24"/>
        </w:rPr>
        <w:t>be</w:t>
      </w:r>
      <w:r w:rsidRPr="0096263F">
        <w:rPr>
          <w:rFonts w:eastAsia="Arial" w:cs="Arial"/>
          <w:strike/>
          <w:snapToGrid/>
          <w:spacing w:val="-3"/>
          <w:szCs w:val="24"/>
        </w:rPr>
        <w:t xml:space="preserve"> </w:t>
      </w:r>
      <w:r w:rsidRPr="0096263F">
        <w:rPr>
          <w:rFonts w:eastAsia="Arial" w:cs="Arial"/>
          <w:strike/>
          <w:snapToGrid/>
          <w:szCs w:val="24"/>
        </w:rPr>
        <w:t>equipped</w:t>
      </w:r>
      <w:r w:rsidRPr="0096263F">
        <w:rPr>
          <w:rFonts w:eastAsia="Arial" w:cs="Arial"/>
          <w:strike/>
          <w:snapToGrid/>
          <w:spacing w:val="-3"/>
          <w:szCs w:val="24"/>
        </w:rPr>
        <w:t xml:space="preserve"> </w:t>
      </w:r>
      <w:r w:rsidRPr="0096263F">
        <w:rPr>
          <w:rFonts w:eastAsia="Arial" w:cs="Arial"/>
          <w:strike/>
          <w:snapToGrid/>
          <w:szCs w:val="24"/>
        </w:rPr>
        <w:t>with</w:t>
      </w:r>
      <w:r w:rsidRPr="0096263F">
        <w:rPr>
          <w:rFonts w:eastAsia="Arial" w:cs="Arial"/>
          <w:strike/>
          <w:snapToGrid/>
          <w:spacing w:val="-2"/>
          <w:szCs w:val="24"/>
        </w:rPr>
        <w:t xml:space="preserve"> </w:t>
      </w:r>
      <w:r w:rsidRPr="0096263F">
        <w:rPr>
          <w:rFonts w:eastAsia="Arial" w:cs="Arial"/>
          <w:strike/>
          <w:snapToGrid/>
          <w:szCs w:val="24"/>
        </w:rPr>
        <w:t>Level</w:t>
      </w:r>
      <w:r w:rsidRPr="0096263F">
        <w:rPr>
          <w:rFonts w:eastAsia="Arial" w:cs="Arial"/>
          <w:strike/>
          <w:snapToGrid/>
          <w:spacing w:val="-3"/>
          <w:szCs w:val="24"/>
        </w:rPr>
        <w:t xml:space="preserve"> </w:t>
      </w:r>
      <w:r w:rsidRPr="0096263F">
        <w:rPr>
          <w:rFonts w:eastAsia="Arial" w:cs="Arial"/>
          <w:strike/>
          <w:snapToGrid/>
          <w:szCs w:val="24"/>
        </w:rPr>
        <w:t>2</w:t>
      </w:r>
      <w:r w:rsidRPr="0096263F">
        <w:rPr>
          <w:rFonts w:eastAsia="Arial" w:cs="Arial"/>
          <w:strike/>
          <w:snapToGrid/>
          <w:spacing w:val="-3"/>
          <w:szCs w:val="24"/>
        </w:rPr>
        <w:t xml:space="preserve"> </w:t>
      </w:r>
      <w:r w:rsidRPr="0096263F">
        <w:rPr>
          <w:rFonts w:eastAsia="Arial" w:cs="Arial"/>
          <w:strike/>
          <w:snapToGrid/>
          <w:szCs w:val="24"/>
        </w:rPr>
        <w:t>EV</w:t>
      </w:r>
      <w:r w:rsidRPr="0096263F">
        <w:rPr>
          <w:rFonts w:eastAsia="Arial" w:cs="Arial"/>
          <w:strike/>
          <w:snapToGrid/>
          <w:spacing w:val="-2"/>
          <w:szCs w:val="24"/>
        </w:rPr>
        <w:t xml:space="preserve"> </w:t>
      </w:r>
      <w:r w:rsidRPr="0096263F">
        <w:rPr>
          <w:rFonts w:eastAsia="Arial" w:cs="Arial"/>
          <w:strike/>
          <w:snapToGrid/>
          <w:szCs w:val="24"/>
        </w:rPr>
        <w:t>chargers.</w:t>
      </w:r>
      <w:r w:rsidRPr="0096263F">
        <w:rPr>
          <w:rFonts w:eastAsia="Arial" w:cs="Arial"/>
          <w:strike/>
          <w:snapToGrid/>
          <w:spacing w:val="-4"/>
          <w:szCs w:val="24"/>
        </w:rPr>
        <w:t xml:space="preserve"> </w:t>
      </w:r>
      <w:r w:rsidRPr="0096263F">
        <w:rPr>
          <w:rFonts w:eastAsia="Arial" w:cs="Arial"/>
          <w:strike/>
          <w:snapToGrid/>
          <w:szCs w:val="24"/>
        </w:rPr>
        <w:t>At</w:t>
      </w:r>
      <w:r w:rsidRPr="0096263F">
        <w:rPr>
          <w:rFonts w:eastAsia="Arial" w:cs="Arial"/>
          <w:strike/>
          <w:snapToGrid/>
          <w:spacing w:val="-3"/>
          <w:szCs w:val="24"/>
        </w:rPr>
        <w:t xml:space="preserve"> </w:t>
      </w:r>
      <w:r w:rsidRPr="0096263F">
        <w:rPr>
          <w:rFonts w:eastAsia="Arial" w:cs="Arial"/>
          <w:strike/>
          <w:snapToGrid/>
          <w:szCs w:val="24"/>
        </w:rPr>
        <w:t>least</w:t>
      </w:r>
      <w:r w:rsidRPr="0096263F">
        <w:rPr>
          <w:rFonts w:eastAsia="Arial" w:cs="Arial"/>
          <w:strike/>
          <w:snapToGrid/>
          <w:spacing w:val="-2"/>
          <w:szCs w:val="24"/>
        </w:rPr>
        <w:t xml:space="preserve"> </w:t>
      </w:r>
      <w:r w:rsidRPr="0096263F">
        <w:rPr>
          <w:rFonts w:eastAsia="Arial" w:cs="Arial"/>
          <w:strike/>
          <w:snapToGrid/>
          <w:szCs w:val="24"/>
        </w:rPr>
        <w:t>fifty</w:t>
      </w:r>
      <w:r w:rsidRPr="0096263F">
        <w:rPr>
          <w:rFonts w:eastAsia="Arial" w:cs="Arial"/>
          <w:strike/>
          <w:snapToGrid/>
          <w:spacing w:val="-3"/>
          <w:szCs w:val="24"/>
        </w:rPr>
        <w:t xml:space="preserve"> </w:t>
      </w:r>
      <w:r w:rsidRPr="0096263F">
        <w:rPr>
          <w:rFonts w:eastAsia="Arial" w:cs="Arial"/>
          <w:strike/>
          <w:snapToGrid/>
          <w:szCs w:val="24"/>
        </w:rPr>
        <w:t>(50)</w:t>
      </w:r>
      <w:r w:rsidRPr="0096263F">
        <w:rPr>
          <w:rFonts w:eastAsia="Arial" w:cs="Arial"/>
          <w:strike/>
          <w:snapToGrid/>
          <w:spacing w:val="-2"/>
          <w:szCs w:val="24"/>
        </w:rPr>
        <w:t xml:space="preserve"> </w:t>
      </w:r>
      <w:r w:rsidRPr="0096263F">
        <w:rPr>
          <w:rFonts w:eastAsia="Arial" w:cs="Arial"/>
          <w:strike/>
          <w:snapToGrid/>
          <w:szCs w:val="24"/>
        </w:rPr>
        <w:t>percent</w:t>
      </w:r>
      <w:r w:rsidRPr="0096263F">
        <w:rPr>
          <w:rFonts w:eastAsia="Arial" w:cs="Arial"/>
          <w:strike/>
          <w:snapToGrid/>
          <w:spacing w:val="-2"/>
          <w:szCs w:val="24"/>
        </w:rPr>
        <w:t xml:space="preserve"> </w:t>
      </w:r>
      <w:r w:rsidRPr="0096263F">
        <w:rPr>
          <w:rFonts w:eastAsia="Arial" w:cs="Arial"/>
          <w:strike/>
          <w:snapToGrid/>
          <w:szCs w:val="24"/>
        </w:rPr>
        <w:t>of</w:t>
      </w:r>
      <w:r w:rsidRPr="0096263F">
        <w:rPr>
          <w:rFonts w:eastAsia="Arial" w:cs="Arial"/>
          <w:strike/>
          <w:snapToGrid/>
          <w:spacing w:val="-4"/>
          <w:szCs w:val="24"/>
        </w:rPr>
        <w:t xml:space="preserve"> </w:t>
      </w:r>
      <w:r w:rsidRPr="0096263F">
        <w:rPr>
          <w:rFonts w:eastAsia="Arial" w:cs="Arial"/>
          <w:strike/>
          <w:snapToGrid/>
          <w:szCs w:val="24"/>
        </w:rPr>
        <w:t>the required EV chargers shall be equipped with J1772 connectors.</w:t>
      </w:r>
    </w:p>
    <w:p w14:paraId="293E683C" w14:textId="609EBFC3" w:rsidR="0096263F" w:rsidRPr="00DC3D1B" w:rsidRDefault="0096263F" w:rsidP="0096263F">
      <w:pPr>
        <w:numPr>
          <w:ilvl w:val="0"/>
          <w:numId w:val="38"/>
        </w:numPr>
        <w:tabs>
          <w:tab w:val="left" w:pos="1218"/>
          <w:tab w:val="left" w:pos="1220"/>
        </w:tabs>
        <w:autoSpaceDE w:val="0"/>
        <w:autoSpaceDN w:val="0"/>
        <w:spacing w:after="120"/>
        <w:ind w:left="1260" w:right="146"/>
        <w:rPr>
          <w:rFonts w:eastAsia="Arial" w:cs="Arial"/>
          <w:snapToGrid/>
          <w:szCs w:val="24"/>
        </w:rPr>
      </w:pPr>
      <w:r w:rsidRPr="00DC3D1B">
        <w:rPr>
          <w:rFonts w:eastAsia="Arial" w:cs="Arial"/>
          <w:strike/>
          <w:snapToGrid/>
          <w:szCs w:val="24"/>
        </w:rPr>
        <w:t xml:space="preserve">b. </w:t>
      </w:r>
      <w:r w:rsidRPr="00DC3D1B">
        <w:rPr>
          <w:rFonts w:eastAsia="Arial" w:cs="Arial"/>
          <w:b/>
          <w:bCs/>
          <w:snapToGrid/>
          <w:szCs w:val="24"/>
        </w:rPr>
        <w:t xml:space="preserve">Multifamily Parking Facilities </w:t>
      </w:r>
      <w:r w:rsidRPr="00DC3D1B">
        <w:rPr>
          <w:rFonts w:eastAsia="Arial" w:cs="Arial"/>
          <w:b/>
          <w:bCs/>
          <w:snapToGrid/>
          <w:szCs w:val="24"/>
          <w:u w:val="single"/>
        </w:rPr>
        <w:t>with Unassigned or Common Use Parking.</w:t>
      </w:r>
      <w:r w:rsidRPr="00DC3D1B">
        <w:rPr>
          <w:rFonts w:eastAsia="Arial" w:cs="Arial"/>
          <w:b/>
          <w:bCs/>
          <w:snapToGrid/>
          <w:szCs w:val="24"/>
        </w:rPr>
        <w:t xml:space="preserve"> </w:t>
      </w:r>
      <w:r w:rsidRPr="00DC3D1B">
        <w:rPr>
          <w:rFonts w:eastAsia="Arial" w:cs="Arial"/>
          <w:strike/>
          <w:snapToGrid/>
          <w:szCs w:val="24"/>
        </w:rPr>
        <w:t xml:space="preserve">Ten (10) percent of the total number of parking spaces shall be equipped with Level 2 EV chargers. </w:t>
      </w:r>
      <w:r w:rsidRPr="00DC3D1B">
        <w:rPr>
          <w:rFonts w:eastAsia="Calibri" w:cs="Arial"/>
          <w:strike/>
          <w:snapToGrid/>
          <w:szCs w:val="24"/>
        </w:rPr>
        <w:t xml:space="preserve">At least fifty (50) percent of the required EV chargers shall be equipped with J1772 connectors. </w:t>
      </w:r>
      <w:r w:rsidRPr="00DC3D1B">
        <w:rPr>
          <w:rFonts w:eastAsia="Arial" w:cs="Arial"/>
          <w:bCs/>
          <w:strike/>
          <w:snapToGrid/>
          <w:szCs w:val="24"/>
        </w:rPr>
        <w:t xml:space="preserve">Where common use parking or unassigned parking is provided, </w:t>
      </w:r>
      <w:r w:rsidRPr="00DC3D1B">
        <w:rPr>
          <w:rFonts w:eastAsia="Arial" w:cs="Arial"/>
          <w:strike/>
          <w:snapToGrid/>
          <w:szCs w:val="24"/>
        </w:rPr>
        <w:t>EV chargers</w:t>
      </w:r>
      <w:r w:rsidRPr="00DC3D1B">
        <w:rPr>
          <w:rFonts w:eastAsia="Arial" w:cs="Arial"/>
          <w:bCs/>
          <w:strike/>
          <w:snapToGrid/>
          <w:szCs w:val="24"/>
        </w:rPr>
        <w:t xml:space="preserve"> shall be located in common use or unassigned parking areas and shall be available for use by all residents or guests.</w:t>
      </w:r>
      <w:r w:rsidRPr="00DC3D1B">
        <w:rPr>
          <w:rFonts w:eastAsia="Arial" w:cs="Arial"/>
          <w:bCs/>
          <w:snapToGrid/>
          <w:szCs w:val="24"/>
        </w:rPr>
        <w:t xml:space="preserve"> </w:t>
      </w:r>
      <w:r w:rsidR="0089450F" w:rsidRPr="00DC3D1B">
        <w:rPr>
          <w:rFonts w:eastAsia="Arial" w:cs="Arial"/>
          <w:snapToGrid/>
          <w:szCs w:val="24"/>
          <w:u w:val="single"/>
        </w:rPr>
        <w:t xml:space="preserve">In addition to the low power Level 2 EV charging receptacle requirements of section 4.106.4.2.2 (1), twenty-five (25) percent of unassigned </w:t>
      </w:r>
      <w:r w:rsidR="009F2377" w:rsidRPr="00DC3D1B">
        <w:rPr>
          <w:rFonts w:eastAsia="Arial" w:cs="Arial"/>
          <w:snapToGrid/>
          <w:szCs w:val="24"/>
          <w:u w:val="single"/>
        </w:rPr>
        <w:t>or common use parking spaces</w:t>
      </w:r>
      <w:r w:rsidR="00DC3D1B">
        <w:rPr>
          <w:rFonts w:eastAsia="Arial" w:cs="Arial"/>
          <w:snapToGrid/>
          <w:szCs w:val="24"/>
          <w:u w:val="single"/>
        </w:rPr>
        <w:t xml:space="preserve"> </w:t>
      </w:r>
      <w:r w:rsidR="00952634" w:rsidRPr="00C12EA7">
        <w:rPr>
          <w:rFonts w:eastAsia="Arial" w:cs="Arial"/>
          <w:snapToGrid/>
          <w:szCs w:val="24"/>
        </w:rPr>
        <w:t>[begin double underline]</w:t>
      </w:r>
      <w:r w:rsidR="0089450F" w:rsidRPr="00DC3D1B">
        <w:rPr>
          <w:rFonts w:eastAsia="Arial" w:cs="Arial"/>
          <w:snapToGrid/>
          <w:szCs w:val="24"/>
          <w:u w:val="double"/>
        </w:rPr>
        <w:t xml:space="preserve"> not already provided with low power Level 2 EV charging receptacles, pursuant to section 4.106.4.2.2 (1),</w:t>
      </w:r>
      <w:r w:rsidR="00952634" w:rsidRPr="00C12EA7">
        <w:rPr>
          <w:rFonts w:eastAsia="Arial" w:cs="Arial"/>
          <w:snapToGrid/>
          <w:szCs w:val="24"/>
        </w:rPr>
        <w:t xml:space="preserve"> [end double underline]</w:t>
      </w:r>
      <w:r w:rsidR="00952634" w:rsidRPr="00DC3D1B">
        <w:rPr>
          <w:rFonts w:eastAsia="Arial" w:cs="Arial"/>
          <w:snapToGrid/>
          <w:szCs w:val="24"/>
          <w:u w:val="single"/>
        </w:rPr>
        <w:t xml:space="preserve"> </w:t>
      </w:r>
      <w:r w:rsidR="0089450F" w:rsidRPr="00DC3D1B">
        <w:rPr>
          <w:rFonts w:eastAsia="Arial" w:cs="Arial"/>
          <w:snapToGrid/>
          <w:szCs w:val="24"/>
          <w:u w:val="single"/>
        </w:rPr>
        <w:t>shall be equipped with Level 2 EV chargers and shall be made available for use by all residents or guests.</w:t>
      </w:r>
    </w:p>
    <w:p w14:paraId="5A319525" w14:textId="77777777" w:rsidR="0096263F" w:rsidRDefault="0096263F" w:rsidP="0096263F">
      <w:pPr>
        <w:autoSpaceDE w:val="0"/>
        <w:autoSpaceDN w:val="0"/>
        <w:spacing w:after="120"/>
        <w:ind w:left="1260" w:right="173"/>
        <w:rPr>
          <w:rFonts w:eastAsia="Arial" w:cs="Arial"/>
          <w:strike/>
          <w:snapToGrid/>
          <w:szCs w:val="24"/>
        </w:rPr>
      </w:pPr>
      <w:r w:rsidRPr="0096263F">
        <w:rPr>
          <w:rFonts w:eastAsia="Arial" w:cs="Arial"/>
          <w:strike/>
          <w:snapToGrid/>
          <w:szCs w:val="24"/>
        </w:rPr>
        <w:t>Where low power Level 2 EV charging receptacles or Level 2 EV chargers are installed beyond the minimum required, an automatic load management system (ALMS)</w:t>
      </w:r>
      <w:r w:rsidRPr="0096263F">
        <w:rPr>
          <w:rFonts w:eastAsia="Arial" w:cs="Arial"/>
          <w:strike/>
          <w:snapToGrid/>
          <w:spacing w:val="-3"/>
          <w:szCs w:val="24"/>
        </w:rPr>
        <w:t xml:space="preserve"> </w:t>
      </w:r>
      <w:r w:rsidRPr="0096263F">
        <w:rPr>
          <w:rFonts w:eastAsia="Arial" w:cs="Arial"/>
          <w:strike/>
          <w:snapToGrid/>
          <w:szCs w:val="24"/>
        </w:rPr>
        <w:t>may</w:t>
      </w:r>
      <w:r w:rsidRPr="0096263F">
        <w:rPr>
          <w:rFonts w:eastAsia="Arial" w:cs="Arial"/>
          <w:strike/>
          <w:snapToGrid/>
          <w:spacing w:val="-4"/>
          <w:szCs w:val="24"/>
        </w:rPr>
        <w:t xml:space="preserve"> </w:t>
      </w:r>
      <w:r w:rsidRPr="0096263F">
        <w:rPr>
          <w:rFonts w:eastAsia="Arial" w:cs="Arial"/>
          <w:strike/>
          <w:snapToGrid/>
          <w:szCs w:val="24"/>
        </w:rPr>
        <w:t>be</w:t>
      </w:r>
      <w:r w:rsidRPr="0096263F">
        <w:rPr>
          <w:rFonts w:eastAsia="Arial" w:cs="Arial"/>
          <w:strike/>
          <w:snapToGrid/>
          <w:spacing w:val="-4"/>
          <w:szCs w:val="24"/>
        </w:rPr>
        <w:t xml:space="preserve"> </w:t>
      </w:r>
      <w:r w:rsidRPr="0096263F">
        <w:rPr>
          <w:rFonts w:eastAsia="Arial" w:cs="Arial"/>
          <w:strike/>
          <w:snapToGrid/>
          <w:szCs w:val="24"/>
        </w:rPr>
        <w:t>used</w:t>
      </w:r>
      <w:r w:rsidRPr="0096263F">
        <w:rPr>
          <w:rFonts w:eastAsia="Arial" w:cs="Arial"/>
          <w:strike/>
          <w:snapToGrid/>
          <w:spacing w:val="-4"/>
          <w:szCs w:val="24"/>
        </w:rPr>
        <w:t xml:space="preserve"> </w:t>
      </w:r>
      <w:r w:rsidRPr="0096263F">
        <w:rPr>
          <w:rFonts w:eastAsia="Arial" w:cs="Arial"/>
          <w:strike/>
          <w:snapToGrid/>
          <w:szCs w:val="24"/>
        </w:rPr>
        <w:t>to</w:t>
      </w:r>
      <w:r w:rsidRPr="0096263F">
        <w:rPr>
          <w:rFonts w:eastAsia="Arial" w:cs="Arial"/>
          <w:strike/>
          <w:snapToGrid/>
          <w:spacing w:val="-4"/>
          <w:szCs w:val="24"/>
        </w:rPr>
        <w:t xml:space="preserve"> </w:t>
      </w:r>
      <w:r w:rsidRPr="0096263F">
        <w:rPr>
          <w:rFonts w:eastAsia="Arial" w:cs="Arial"/>
          <w:strike/>
          <w:snapToGrid/>
          <w:szCs w:val="24"/>
        </w:rPr>
        <w:t>reduce</w:t>
      </w:r>
      <w:r w:rsidRPr="0096263F">
        <w:rPr>
          <w:rFonts w:eastAsia="Arial" w:cs="Arial"/>
          <w:strike/>
          <w:snapToGrid/>
          <w:spacing w:val="-4"/>
          <w:szCs w:val="24"/>
        </w:rPr>
        <w:t xml:space="preserve"> </w:t>
      </w:r>
      <w:r w:rsidRPr="0096263F">
        <w:rPr>
          <w:rFonts w:eastAsia="Arial" w:cs="Arial"/>
          <w:strike/>
          <w:snapToGrid/>
          <w:szCs w:val="24"/>
        </w:rPr>
        <w:t>the</w:t>
      </w:r>
      <w:r w:rsidRPr="0096263F">
        <w:rPr>
          <w:rFonts w:eastAsia="Arial" w:cs="Arial"/>
          <w:strike/>
          <w:snapToGrid/>
          <w:spacing w:val="-4"/>
          <w:szCs w:val="24"/>
        </w:rPr>
        <w:t xml:space="preserve"> </w:t>
      </w:r>
      <w:r w:rsidRPr="0096263F">
        <w:rPr>
          <w:rFonts w:eastAsia="Arial" w:cs="Arial"/>
          <w:strike/>
          <w:snapToGrid/>
          <w:szCs w:val="24"/>
        </w:rPr>
        <w:t>maximum</w:t>
      </w:r>
      <w:r w:rsidRPr="0096263F">
        <w:rPr>
          <w:rFonts w:eastAsia="Arial" w:cs="Arial"/>
          <w:strike/>
          <w:snapToGrid/>
          <w:spacing w:val="-3"/>
          <w:szCs w:val="24"/>
        </w:rPr>
        <w:t xml:space="preserve"> </w:t>
      </w:r>
      <w:r w:rsidRPr="0096263F">
        <w:rPr>
          <w:rFonts w:eastAsia="Arial" w:cs="Arial"/>
          <w:strike/>
          <w:snapToGrid/>
          <w:szCs w:val="24"/>
        </w:rPr>
        <w:t>required</w:t>
      </w:r>
      <w:r w:rsidRPr="0096263F">
        <w:rPr>
          <w:rFonts w:eastAsia="Arial" w:cs="Arial"/>
          <w:strike/>
          <w:snapToGrid/>
          <w:spacing w:val="-5"/>
          <w:szCs w:val="24"/>
        </w:rPr>
        <w:t xml:space="preserve"> </w:t>
      </w:r>
      <w:r w:rsidRPr="0096263F">
        <w:rPr>
          <w:rFonts w:eastAsia="Arial" w:cs="Arial"/>
          <w:strike/>
          <w:snapToGrid/>
          <w:szCs w:val="24"/>
        </w:rPr>
        <w:t>electrical</w:t>
      </w:r>
      <w:r w:rsidRPr="0096263F">
        <w:rPr>
          <w:rFonts w:eastAsia="Arial" w:cs="Arial"/>
          <w:strike/>
          <w:snapToGrid/>
          <w:spacing w:val="-4"/>
          <w:szCs w:val="24"/>
        </w:rPr>
        <w:t xml:space="preserve"> </w:t>
      </w:r>
      <w:r w:rsidRPr="0096263F">
        <w:rPr>
          <w:rFonts w:eastAsia="Arial" w:cs="Arial"/>
          <w:strike/>
          <w:snapToGrid/>
          <w:szCs w:val="24"/>
        </w:rPr>
        <w:t>capacity</w:t>
      </w:r>
      <w:r w:rsidRPr="0096263F">
        <w:rPr>
          <w:rFonts w:eastAsia="Arial" w:cs="Arial"/>
          <w:strike/>
          <w:snapToGrid/>
          <w:spacing w:val="-4"/>
          <w:szCs w:val="24"/>
        </w:rPr>
        <w:t xml:space="preserve"> </w:t>
      </w:r>
      <w:r w:rsidRPr="0096263F">
        <w:rPr>
          <w:rFonts w:eastAsia="Arial" w:cs="Arial"/>
          <w:strike/>
          <w:snapToGrid/>
          <w:szCs w:val="24"/>
        </w:rPr>
        <w:t>to</w:t>
      </w:r>
      <w:r w:rsidRPr="0096263F">
        <w:rPr>
          <w:rFonts w:eastAsia="Arial" w:cs="Arial"/>
          <w:strike/>
          <w:snapToGrid/>
          <w:spacing w:val="-4"/>
          <w:szCs w:val="24"/>
        </w:rPr>
        <w:t xml:space="preserve"> </w:t>
      </w:r>
      <w:r w:rsidRPr="0096263F">
        <w:rPr>
          <w:rFonts w:eastAsia="Arial" w:cs="Arial"/>
          <w:strike/>
          <w:snapToGrid/>
          <w:szCs w:val="24"/>
        </w:rPr>
        <w:t>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0C41EFE3" w14:textId="77777777" w:rsidR="006F115E" w:rsidRPr="006F115E" w:rsidRDefault="006F115E" w:rsidP="006F115E">
      <w:pPr>
        <w:numPr>
          <w:ilvl w:val="0"/>
          <w:numId w:val="38"/>
        </w:numPr>
        <w:autoSpaceDE w:val="0"/>
        <w:autoSpaceDN w:val="0"/>
        <w:spacing w:before="120" w:after="120"/>
        <w:ind w:left="1267"/>
        <w:rPr>
          <w:rFonts w:eastAsia="Arial" w:cs="Arial"/>
          <w:snapToGrid/>
          <w:szCs w:val="24"/>
          <w:u w:val="single"/>
        </w:rPr>
      </w:pPr>
      <w:r>
        <w:rPr>
          <w:rFonts w:eastAsia="Arial" w:cs="Arial"/>
          <w:snapToGrid/>
          <w:spacing w:val="-2"/>
          <w:szCs w:val="24"/>
        </w:rPr>
        <w:t>[no changes to FET proposed]</w:t>
      </w:r>
    </w:p>
    <w:p w14:paraId="5FF203A1" w14:textId="08B4BADE" w:rsidR="006F115E" w:rsidRPr="007214BE" w:rsidRDefault="006F115E" w:rsidP="006F115E">
      <w:pPr>
        <w:numPr>
          <w:ilvl w:val="0"/>
          <w:numId w:val="38"/>
        </w:numPr>
        <w:autoSpaceDE w:val="0"/>
        <w:autoSpaceDN w:val="0"/>
        <w:spacing w:before="120" w:after="120"/>
        <w:ind w:left="1267"/>
        <w:rPr>
          <w:rFonts w:eastAsia="Arial" w:cs="Arial"/>
          <w:snapToGrid/>
          <w:szCs w:val="24"/>
          <w:u w:val="single"/>
        </w:rPr>
      </w:pPr>
      <w:r>
        <w:rPr>
          <w:rFonts w:eastAsia="Arial" w:cs="Arial"/>
          <w:snapToGrid/>
          <w:spacing w:val="-2"/>
          <w:szCs w:val="24"/>
        </w:rPr>
        <w:t>[no changes to FET proposed]</w:t>
      </w:r>
    </w:p>
    <w:p w14:paraId="54F274A2" w14:textId="77777777" w:rsidR="006F115E" w:rsidRDefault="00BD2BFC" w:rsidP="00BD3875">
      <w:pPr>
        <w:spacing w:before="120"/>
        <w:rPr>
          <w:rFonts w:cs="Arial"/>
        </w:rPr>
      </w:pPr>
      <w:r w:rsidRPr="0044593B">
        <w:rPr>
          <w:rFonts w:cs="Arial"/>
          <w:b/>
        </w:rPr>
        <w:t>Rationale:</w:t>
      </w:r>
      <w:r w:rsidRPr="0044593B">
        <w:rPr>
          <w:rFonts w:cs="Arial"/>
        </w:rPr>
        <w:t xml:space="preserve"> </w:t>
      </w:r>
      <w:r w:rsidR="00CA39C0">
        <w:rPr>
          <w:rFonts w:cs="Arial"/>
        </w:rPr>
        <w:t xml:space="preserve">HCD </w:t>
      </w:r>
      <w:r w:rsidR="0062456B">
        <w:rPr>
          <w:rFonts w:cs="Arial"/>
        </w:rPr>
        <w:t xml:space="preserve">has identified an editorial correction in </w:t>
      </w:r>
      <w:r w:rsidR="001B6F93">
        <w:rPr>
          <w:rFonts w:cs="Arial"/>
        </w:rPr>
        <w:t xml:space="preserve">Item 2, </w:t>
      </w:r>
      <w:r w:rsidR="009927A2">
        <w:rPr>
          <w:rFonts w:cs="Arial"/>
        </w:rPr>
        <w:t>Chapter 4</w:t>
      </w:r>
      <w:r w:rsidR="00B02425">
        <w:rPr>
          <w:rFonts w:cs="Arial"/>
        </w:rPr>
        <w:t xml:space="preserve"> Residential Mandatory Measures</w:t>
      </w:r>
      <w:r w:rsidR="00484984">
        <w:rPr>
          <w:rFonts w:cs="Arial"/>
        </w:rPr>
        <w:t>,</w:t>
      </w:r>
      <w:r w:rsidR="00CC5011">
        <w:rPr>
          <w:rFonts w:cs="Arial"/>
        </w:rPr>
        <w:t xml:space="preserve"> </w:t>
      </w:r>
      <w:r w:rsidR="00484984">
        <w:rPr>
          <w:rFonts w:cs="Arial"/>
        </w:rPr>
        <w:t>S</w:t>
      </w:r>
      <w:r w:rsidR="00CC5011">
        <w:rPr>
          <w:rFonts w:cs="Arial"/>
        </w:rPr>
        <w:t>ection 4.106.4.2.2</w:t>
      </w:r>
      <w:r w:rsidR="00484984">
        <w:rPr>
          <w:rFonts w:cs="Arial"/>
        </w:rPr>
        <w:t>,</w:t>
      </w:r>
      <w:r w:rsidR="009927A2">
        <w:rPr>
          <w:rFonts w:cs="Arial"/>
        </w:rPr>
        <w:t xml:space="preserve"> sub</w:t>
      </w:r>
      <w:r w:rsidR="00C8412E">
        <w:rPr>
          <w:rFonts w:cs="Arial"/>
        </w:rPr>
        <w:t>section 2(a)</w:t>
      </w:r>
      <w:r w:rsidR="00F449E2">
        <w:rPr>
          <w:rFonts w:cs="Arial"/>
        </w:rPr>
        <w:t>,</w:t>
      </w:r>
      <w:r w:rsidR="00C8412E">
        <w:rPr>
          <w:rFonts w:cs="Arial"/>
        </w:rPr>
        <w:t xml:space="preserve"> Multifamily Parking Facilities with Unassigned or Common Use Parking</w:t>
      </w:r>
      <w:r w:rsidR="009251F8">
        <w:rPr>
          <w:rFonts w:cs="Arial"/>
        </w:rPr>
        <w:t>.</w:t>
      </w:r>
      <w:r w:rsidR="00094688">
        <w:rPr>
          <w:rFonts w:cs="Arial"/>
        </w:rPr>
        <w:t xml:space="preserve"> </w:t>
      </w:r>
    </w:p>
    <w:p w14:paraId="51EE2303" w14:textId="45297EB5" w:rsidR="006F115E" w:rsidRDefault="00094688" w:rsidP="00BD3875">
      <w:pPr>
        <w:spacing w:before="120"/>
        <w:rPr>
          <w:rFonts w:cs="Arial"/>
        </w:rPr>
      </w:pPr>
      <w:r>
        <w:rPr>
          <w:rFonts w:cs="Arial"/>
        </w:rPr>
        <w:t>HCD proposes</w:t>
      </w:r>
      <w:r w:rsidR="00B3463B">
        <w:rPr>
          <w:rFonts w:cs="Arial"/>
        </w:rPr>
        <w:t xml:space="preserve"> </w:t>
      </w:r>
      <w:r w:rsidR="00570486">
        <w:rPr>
          <w:rFonts w:cs="Arial"/>
        </w:rPr>
        <w:t xml:space="preserve">to modify </w:t>
      </w:r>
      <w:r w:rsidR="00B37632">
        <w:rPr>
          <w:rFonts w:cs="Arial"/>
        </w:rPr>
        <w:t xml:space="preserve">the </w:t>
      </w:r>
      <w:r w:rsidR="007F6AC8">
        <w:rPr>
          <w:rFonts w:cs="Arial"/>
        </w:rPr>
        <w:t>above referenced subsection</w:t>
      </w:r>
      <w:r w:rsidR="00570486">
        <w:rPr>
          <w:rFonts w:cs="Arial"/>
        </w:rPr>
        <w:t xml:space="preserve"> by</w:t>
      </w:r>
      <w:r w:rsidR="00944B03">
        <w:rPr>
          <w:rFonts w:cs="Arial"/>
        </w:rPr>
        <w:t xml:space="preserve"> add</w:t>
      </w:r>
      <w:r w:rsidR="00570486">
        <w:rPr>
          <w:rFonts w:cs="Arial"/>
        </w:rPr>
        <w:t>ing</w:t>
      </w:r>
      <w:r w:rsidR="00944B03">
        <w:rPr>
          <w:rFonts w:cs="Arial"/>
        </w:rPr>
        <w:t xml:space="preserve"> </w:t>
      </w:r>
      <w:r w:rsidR="0088754A">
        <w:rPr>
          <w:rFonts w:cs="Arial"/>
        </w:rPr>
        <w:t>the following</w:t>
      </w:r>
      <w:r w:rsidR="002578FE">
        <w:rPr>
          <w:rFonts w:cs="Arial"/>
        </w:rPr>
        <w:t xml:space="preserve"> </w:t>
      </w:r>
      <w:r w:rsidR="00C12EA7" w:rsidRPr="00C12EA7">
        <w:rPr>
          <w:rFonts w:cs="Arial"/>
        </w:rPr>
        <w:t>verbiage</w:t>
      </w:r>
      <w:r w:rsidR="00C12EA7" w:rsidRPr="00DC3D1B">
        <w:rPr>
          <w:rFonts w:cs="Arial"/>
        </w:rPr>
        <w:t>,</w:t>
      </w:r>
      <w:r w:rsidR="00C12EA7" w:rsidRPr="00C12EA7">
        <w:rPr>
          <w:rFonts w:cs="Arial"/>
        </w:rPr>
        <w:t xml:space="preserve"> “</w:t>
      </w:r>
      <w:r w:rsidR="00DC3D1B">
        <w:rPr>
          <w:rFonts w:cs="Arial"/>
        </w:rPr>
        <w:t>…</w:t>
      </w:r>
      <w:r w:rsidR="0088754A" w:rsidRPr="00DC3D1B">
        <w:rPr>
          <w:rFonts w:cs="Arial"/>
        </w:rPr>
        <w:t>not already provided with low power Level 2 EV charging receptacles, pursuant to section 4.106.4.2.2(1)</w:t>
      </w:r>
      <w:r w:rsidR="00A22C67" w:rsidRPr="00DC3D1B">
        <w:rPr>
          <w:rFonts w:cs="Arial"/>
        </w:rPr>
        <w:t>,</w:t>
      </w:r>
      <w:r w:rsidR="00DC3D1B">
        <w:rPr>
          <w:rFonts w:cs="Arial"/>
        </w:rPr>
        <w:t xml:space="preserve"> </w:t>
      </w:r>
      <w:r w:rsidR="006F115E">
        <w:rPr>
          <w:rFonts w:cs="Arial"/>
        </w:rPr>
        <w:t xml:space="preserve">… </w:t>
      </w:r>
      <w:r w:rsidR="00A22C67" w:rsidRPr="00C12EA7">
        <w:rPr>
          <w:rFonts w:cs="Arial"/>
        </w:rPr>
        <w:t>.</w:t>
      </w:r>
      <w:r w:rsidR="00DC3D1B" w:rsidRPr="00C12EA7">
        <w:rPr>
          <w:rFonts w:cs="Arial"/>
        </w:rPr>
        <w:t>”</w:t>
      </w:r>
      <w:r w:rsidR="006E0088">
        <w:rPr>
          <w:rFonts w:cs="Arial"/>
        </w:rPr>
        <w:t xml:space="preserve"> </w:t>
      </w:r>
      <w:r w:rsidR="00613528">
        <w:rPr>
          <w:rFonts w:cs="Arial"/>
        </w:rPr>
        <w:t xml:space="preserve">The </w:t>
      </w:r>
      <w:r w:rsidR="00F34FDC">
        <w:rPr>
          <w:rFonts w:cs="Arial"/>
        </w:rPr>
        <w:t>purpose</w:t>
      </w:r>
      <w:r w:rsidR="00801007">
        <w:rPr>
          <w:rFonts w:cs="Arial"/>
        </w:rPr>
        <w:t xml:space="preserve"> of this correction</w:t>
      </w:r>
      <w:r w:rsidR="006F115E">
        <w:rPr>
          <w:rFonts w:cs="Arial"/>
        </w:rPr>
        <w:t>:</w:t>
      </w:r>
    </w:p>
    <w:p w14:paraId="087E1C1B" w14:textId="16A036B8" w:rsidR="006F115E" w:rsidRDefault="006F115E" w:rsidP="006F115E">
      <w:pPr>
        <w:pStyle w:val="ListParagraph"/>
        <w:numPr>
          <w:ilvl w:val="0"/>
          <w:numId w:val="42"/>
        </w:numPr>
        <w:spacing w:before="120"/>
        <w:ind w:left="720"/>
        <w:contextualSpacing w:val="0"/>
        <w:rPr>
          <w:rFonts w:cs="Arial"/>
        </w:rPr>
      </w:pPr>
      <w:r>
        <w:rPr>
          <w:rFonts w:cs="Arial"/>
        </w:rPr>
        <w:t>A</w:t>
      </w:r>
      <w:r w:rsidR="001A7E34" w:rsidRPr="006F115E">
        <w:rPr>
          <w:rFonts w:cs="Arial"/>
        </w:rPr>
        <w:t xml:space="preserve">lign the </w:t>
      </w:r>
      <w:r w:rsidR="00586CA6" w:rsidRPr="006F115E">
        <w:rPr>
          <w:rFonts w:cs="Arial"/>
        </w:rPr>
        <w:t>proposed</w:t>
      </w:r>
      <w:r w:rsidR="00586CA6" w:rsidRPr="006F115E" w:rsidDel="0025496E">
        <w:rPr>
          <w:rFonts w:cs="Arial"/>
        </w:rPr>
        <w:t xml:space="preserve"> </w:t>
      </w:r>
      <w:r w:rsidR="0025496E" w:rsidRPr="006F115E">
        <w:rPr>
          <w:rFonts w:cs="Arial"/>
        </w:rPr>
        <w:t xml:space="preserve">amendment </w:t>
      </w:r>
      <w:r w:rsidR="00586CA6" w:rsidRPr="006F115E">
        <w:rPr>
          <w:rFonts w:cs="Arial"/>
        </w:rPr>
        <w:t xml:space="preserve">in the </w:t>
      </w:r>
      <w:r w:rsidR="001158A0" w:rsidRPr="006F115E">
        <w:rPr>
          <w:rFonts w:cs="Arial"/>
        </w:rPr>
        <w:t xml:space="preserve">Final </w:t>
      </w:r>
      <w:r w:rsidR="001A7E34" w:rsidRPr="006F115E">
        <w:rPr>
          <w:rFonts w:cs="Arial"/>
        </w:rPr>
        <w:t>Express Terms with the</w:t>
      </w:r>
      <w:r w:rsidR="0025496E" w:rsidRPr="006F115E">
        <w:rPr>
          <w:rFonts w:cs="Arial"/>
        </w:rPr>
        <w:t xml:space="preserve"> language and intent of the associated rationale within the</w:t>
      </w:r>
      <w:r w:rsidR="001A7E34" w:rsidRPr="006F115E">
        <w:rPr>
          <w:rFonts w:cs="Arial"/>
        </w:rPr>
        <w:t xml:space="preserve"> </w:t>
      </w:r>
      <w:r>
        <w:rPr>
          <w:rFonts w:cs="Arial"/>
        </w:rPr>
        <w:t xml:space="preserve">Initial </w:t>
      </w:r>
      <w:r w:rsidR="001A7E34" w:rsidRPr="006F115E">
        <w:rPr>
          <w:rFonts w:cs="Arial"/>
        </w:rPr>
        <w:t>Statement of Reasons</w:t>
      </w:r>
      <w:r w:rsidR="0025496E" w:rsidRPr="006F115E">
        <w:rPr>
          <w:rFonts w:cs="Arial"/>
        </w:rPr>
        <w:t>;</w:t>
      </w:r>
      <w:r w:rsidR="00F449E2" w:rsidRPr="006F115E">
        <w:rPr>
          <w:rFonts w:cs="Arial"/>
        </w:rPr>
        <w:t xml:space="preserve"> </w:t>
      </w:r>
      <w:r w:rsidR="00715AB0" w:rsidRPr="006F115E">
        <w:rPr>
          <w:rFonts w:cs="Arial"/>
        </w:rPr>
        <w:t xml:space="preserve">and </w:t>
      </w:r>
    </w:p>
    <w:p w14:paraId="45D323A2" w14:textId="0C9F0A16" w:rsidR="00813388" w:rsidRPr="006F115E" w:rsidRDefault="006F115E" w:rsidP="006F115E">
      <w:pPr>
        <w:pStyle w:val="ListParagraph"/>
        <w:numPr>
          <w:ilvl w:val="0"/>
          <w:numId w:val="42"/>
        </w:numPr>
        <w:spacing w:before="120"/>
        <w:ind w:left="720"/>
        <w:contextualSpacing w:val="0"/>
        <w:rPr>
          <w:rFonts w:cs="Arial"/>
        </w:rPr>
      </w:pPr>
      <w:r>
        <w:rPr>
          <w:rFonts w:cs="Arial"/>
        </w:rPr>
        <w:t>C</w:t>
      </w:r>
      <w:r w:rsidR="00715AB0" w:rsidRPr="006F115E">
        <w:rPr>
          <w:rFonts w:cs="Arial"/>
        </w:rPr>
        <w:t xml:space="preserve">larify that </w:t>
      </w:r>
      <w:r w:rsidR="00B0196B" w:rsidRPr="006F115E">
        <w:rPr>
          <w:rFonts w:cs="Arial"/>
        </w:rPr>
        <w:t>when unassigned</w:t>
      </w:r>
      <w:r w:rsidR="00B15A1D" w:rsidRPr="006F115E">
        <w:rPr>
          <w:rFonts w:cs="Arial"/>
        </w:rPr>
        <w:t>/common use parking spaces are provided and EV charging is required, only one EV receptacle or EV charger is required at each parking space, not both</w:t>
      </w:r>
      <w:r w:rsidR="00586CA6" w:rsidRPr="006F115E">
        <w:rPr>
          <w:rFonts w:cs="Arial"/>
        </w:rPr>
        <w:t xml:space="preserve">. </w:t>
      </w:r>
    </w:p>
    <w:p w14:paraId="66B0E3AD" w14:textId="1192BFC2" w:rsidR="0096263F" w:rsidRPr="0096263F" w:rsidRDefault="0096263F" w:rsidP="00743C0D">
      <w:pPr>
        <w:spacing w:before="120" w:after="120"/>
        <w:rPr>
          <w:rFonts w:cs="Arial"/>
        </w:rPr>
      </w:pPr>
      <w:r w:rsidRPr="0096263F">
        <w:rPr>
          <w:rFonts w:eastAsia="Arial"/>
          <w:b/>
          <w:bCs/>
        </w:rPr>
        <w:t>Notation</w:t>
      </w:r>
      <w:r w:rsidRPr="0096263F">
        <w:rPr>
          <w:rFonts w:eastAsia="Arial" w:cstheme="majorBidi"/>
          <w:b/>
          <w:iCs/>
          <w:snapToGrid/>
        </w:rPr>
        <w:t>:</w:t>
      </w:r>
    </w:p>
    <w:p w14:paraId="2B1B524B" w14:textId="77777777" w:rsidR="0096263F" w:rsidRPr="0096263F" w:rsidRDefault="0096263F" w:rsidP="00BD3875">
      <w:pPr>
        <w:autoSpaceDE w:val="0"/>
        <w:autoSpaceDN w:val="0"/>
        <w:spacing w:after="120"/>
        <w:rPr>
          <w:rFonts w:eastAsia="Arial" w:cs="Arial"/>
          <w:snapToGrid/>
          <w:szCs w:val="24"/>
        </w:rPr>
      </w:pPr>
      <w:bookmarkStart w:id="2" w:name="_Hlk176436334"/>
      <w:r w:rsidRPr="0096263F">
        <w:rPr>
          <w:rFonts w:eastAsia="Arial" w:cs="Arial"/>
          <w:snapToGrid/>
          <w:szCs w:val="24"/>
        </w:rPr>
        <w:t xml:space="preserve">Authority: </w:t>
      </w:r>
      <w:r w:rsidRPr="0096263F">
        <w:rPr>
          <w:rFonts w:eastAsia="Calibri" w:cs="Arial"/>
          <w:snapToGrid/>
          <w:szCs w:val="24"/>
        </w:rPr>
        <w:t>Health and Safety Code Sections 17040, 17921, 17928, 18938.3, 18941.10, 18941.11, 19984, 19990; and Government Code Sections 12955, 12955.1 and 12955.1.1.</w:t>
      </w:r>
    </w:p>
    <w:p w14:paraId="672B44B4" w14:textId="0A6EF6E2" w:rsidR="00F22ED6" w:rsidRPr="00BD3875" w:rsidRDefault="0096263F" w:rsidP="00FC3CC5">
      <w:pPr>
        <w:autoSpaceDE w:val="0"/>
        <w:autoSpaceDN w:val="0"/>
        <w:spacing w:after="240"/>
        <w:rPr>
          <w:rFonts w:eastAsia="Arial" w:cs="Arial"/>
          <w:strike/>
          <w:snapToGrid/>
        </w:rPr>
      </w:pPr>
      <w:r w:rsidRPr="0096263F">
        <w:rPr>
          <w:rFonts w:eastAsia="Arial" w:cs="Arial"/>
          <w:snapToGrid/>
        </w:rPr>
        <w:lastRenderedPageBreak/>
        <w:t xml:space="preserve">References: </w:t>
      </w:r>
      <w:r w:rsidRPr="0096263F">
        <w:rPr>
          <w:rFonts w:eastAsia="Calibri" w:cs="Arial"/>
          <w:snapToGrid/>
        </w:rPr>
        <w:t>Health and Safety Code Sections 17040, 17042, 17921, 17928, 17958.12, 18938.3, 18941.5, 19990 and 19984; Government Code Sections 12955, 12955.1; and Vehicle Code Section 22511.2.</w:t>
      </w:r>
      <w:bookmarkEnd w:id="2"/>
    </w:p>
    <w:p w14:paraId="39AAF299" w14:textId="7BAF28BF" w:rsidR="00B20605" w:rsidRPr="0044593B" w:rsidRDefault="00F25C09" w:rsidP="00BF4408">
      <w:pPr>
        <w:pStyle w:val="Default"/>
        <w:keepNext/>
        <w:keepLines/>
        <w:widowControl w:val="0"/>
        <w:spacing w:after="120"/>
      </w:pPr>
      <w:r>
        <w:t xml:space="preserve">The </w:t>
      </w:r>
      <w:r w:rsidR="00C81338">
        <w:t xml:space="preserve">Department of Housing and Community Development </w:t>
      </w:r>
      <w:r w:rsidR="00F22ED6" w:rsidRPr="00F94C2F">
        <w:t xml:space="preserve">requests the </w:t>
      </w:r>
      <w:r w:rsidR="00B20605">
        <w:t>Commission</w:t>
      </w:r>
      <w:r w:rsidR="00F22ED6">
        <w:t xml:space="preserve"> </w:t>
      </w:r>
      <w:r w:rsidR="00F22ED6" w:rsidRPr="00F94C2F">
        <w:t xml:space="preserve">to </w:t>
      </w:r>
      <w:r w:rsidR="00B20605">
        <w:t>a</w:t>
      </w:r>
      <w:r w:rsidR="00B20605" w:rsidRPr="00F94C2F">
        <w:t xml:space="preserve">pprove this item </w:t>
      </w:r>
      <w:r w:rsidR="00F22ED6" w:rsidRPr="00F94C2F">
        <w:t xml:space="preserve">as </w:t>
      </w:r>
      <w:r w:rsidR="00B20605">
        <w:t>a</w:t>
      </w:r>
      <w:r w:rsidR="00F22ED6" w:rsidRPr="00F94C2F">
        <w:t>mended, in order to satisfy</w:t>
      </w:r>
      <w:r w:rsidR="00F22ED6">
        <w:t xml:space="preserve"> </w:t>
      </w:r>
      <w:r w:rsidR="00F22ED6" w:rsidRPr="00F94C2F">
        <w:t xml:space="preserve">Health and Safety Code </w:t>
      </w:r>
      <w:r w:rsidR="00F22ED6">
        <w:t xml:space="preserve">Section </w:t>
      </w:r>
      <w:r w:rsidR="00F22ED6" w:rsidRPr="00F25C09">
        <w:t>18930(a)(</w:t>
      </w:r>
      <w:r w:rsidR="00592D1D">
        <w:t>1</w:t>
      </w:r>
      <w:r w:rsidR="00F22ED6" w:rsidRPr="00F25C09">
        <w:t>)</w:t>
      </w:r>
      <w:r w:rsidR="0008424C" w:rsidRPr="00F25C09">
        <w:t>,</w:t>
      </w:r>
      <w:r w:rsidR="00F22ED6" w:rsidRPr="00F25C09">
        <w:t xml:space="preserve"> </w:t>
      </w:r>
      <w:r w:rsidR="00A273AB">
        <w:t>the</w:t>
      </w:r>
      <w:r w:rsidR="00A273AB" w:rsidRPr="00A273AB">
        <w:t xml:space="preserve"> proposed building standards do not conflict with, overlap, or duplicate other building standards.</w:t>
      </w:r>
    </w:p>
    <w:sectPr w:rsidR="00B20605"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F9C1" w14:textId="77777777" w:rsidR="00B848F7" w:rsidRDefault="00B848F7">
      <w:r>
        <w:separator/>
      </w:r>
    </w:p>
  </w:endnote>
  <w:endnote w:type="continuationSeparator" w:id="0">
    <w:p w14:paraId="76A62039" w14:textId="77777777" w:rsidR="00B848F7" w:rsidRDefault="00B848F7">
      <w:r>
        <w:continuationSeparator/>
      </w:r>
    </w:p>
  </w:endnote>
  <w:endnote w:type="continuationNotice" w:id="1">
    <w:p w14:paraId="52D01B7E" w14:textId="77777777" w:rsidR="00B848F7" w:rsidRDefault="00B84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128A7E96"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rsidR="00077002">
      <w:t xml:space="preserve">Final </w:t>
    </w:r>
    <w:r>
      <w:t>Express Terms</w:t>
    </w:r>
    <w:r w:rsidR="00072D5F">
      <w:t xml:space="preserve"> and Rationale</w:t>
    </w:r>
    <w:r w:rsidR="00A0189B">
      <w:tab/>
    </w:r>
    <w:r w:rsidR="00EC241C">
      <w:t>November</w:t>
    </w:r>
    <w:r w:rsidR="00A0189B">
      <w:t xml:space="preserve"> </w:t>
    </w:r>
    <w:r w:rsidR="00EC241C">
      <w:t>2</w:t>
    </w:r>
    <w:r w:rsidR="000827EB">
      <w:t>5</w:t>
    </w:r>
    <w:r w:rsidR="00A0189B">
      <w:t xml:space="preserve">, </w:t>
    </w:r>
    <w:r w:rsidR="00EC241C">
      <w:t>2024</w:t>
    </w:r>
  </w:p>
  <w:p w14:paraId="723451C6" w14:textId="45CA6DF2" w:rsidR="001A4A03" w:rsidRDefault="00077002" w:rsidP="007C04EF">
    <w:pPr>
      <w:pStyle w:val="Footer"/>
      <w:tabs>
        <w:tab w:val="clear" w:pos="4320"/>
        <w:tab w:val="clear" w:pos="8640"/>
        <w:tab w:val="center" w:pos="5040"/>
        <w:tab w:val="right" w:pos="9180"/>
      </w:tabs>
      <w:rPr>
        <w:szCs w:val="16"/>
      </w:rPr>
    </w:pPr>
    <w:r>
      <w:rPr>
        <w:szCs w:val="16"/>
      </w:rPr>
      <w:t>HCD 0</w:t>
    </w:r>
    <w:r w:rsidR="00FC3CC5">
      <w:rPr>
        <w:szCs w:val="16"/>
      </w:rPr>
      <w:t>4</w:t>
    </w:r>
    <w:r>
      <w:rPr>
        <w:szCs w:val="16"/>
      </w:rPr>
      <w:t>/24</w:t>
    </w:r>
    <w:r w:rsidR="000F6D3A">
      <w:rPr>
        <w:szCs w:val="16"/>
      </w:rPr>
      <w:t xml:space="preserve"> </w:t>
    </w:r>
    <w:r w:rsidR="001A4A03">
      <w:rPr>
        <w:szCs w:val="16"/>
      </w:rPr>
      <w:t>- Part</w:t>
    </w:r>
    <w:r w:rsidR="00A0189B">
      <w:rPr>
        <w:szCs w:val="16"/>
      </w:rPr>
      <w:t xml:space="preserve"> </w:t>
    </w:r>
    <w:r w:rsidR="00FC3CC5">
      <w:rPr>
        <w:szCs w:val="16"/>
      </w:rPr>
      <w:t>11</w:t>
    </w:r>
    <w:r w:rsidR="001A4A03">
      <w:rPr>
        <w:szCs w:val="16"/>
      </w:rPr>
      <w:t xml:space="preserve"> -</w:t>
    </w:r>
    <w:r w:rsidR="00A0189B">
      <w:rPr>
        <w:szCs w:val="16"/>
      </w:rPr>
      <w:t xml:space="preserve"> </w:t>
    </w:r>
    <w:r w:rsidR="004E642B">
      <w:rPr>
        <w:szCs w:val="16"/>
      </w:rPr>
      <w:t>2024</w:t>
    </w:r>
    <w:r w:rsidR="00A0189B">
      <w:rPr>
        <w:szCs w:val="16"/>
      </w:rPr>
      <w:t xml:space="preserve"> Triennial</w:t>
    </w:r>
    <w:r w:rsidR="004E642B">
      <w:rPr>
        <w:szCs w:val="16"/>
      </w:rPr>
      <w:t xml:space="preserve"> </w:t>
    </w:r>
    <w:r w:rsidR="001A4A03">
      <w:rPr>
        <w:szCs w:val="16"/>
      </w:rPr>
      <w:t xml:space="preserve">Code </w:t>
    </w:r>
    <w:r w:rsidR="004E642B">
      <w:rPr>
        <w:szCs w:val="16"/>
      </w:rPr>
      <w:t xml:space="preserve">Adoption </w:t>
    </w:r>
    <w:r w:rsidR="001A4A03">
      <w:rPr>
        <w:szCs w:val="16"/>
      </w:rPr>
      <w:t>Cycle</w:t>
    </w:r>
    <w:r w:rsidR="001A4A03" w:rsidRPr="004C48A0">
      <w:rPr>
        <w:szCs w:val="16"/>
      </w:rPr>
      <w:tab/>
    </w:r>
    <w:r w:rsidR="00A0189B">
      <w:rPr>
        <w:szCs w:val="16"/>
      </w:rPr>
      <w:tab/>
    </w:r>
    <w:r w:rsidR="00B20605">
      <w:rPr>
        <w:szCs w:val="16"/>
      </w:rPr>
      <w:t xml:space="preserve">Addendum to </w:t>
    </w:r>
    <w:r>
      <w:rPr>
        <w:szCs w:val="16"/>
      </w:rPr>
      <w:t>F</w:t>
    </w:r>
    <w:r w:rsidR="00B20605">
      <w:rPr>
        <w:szCs w:val="16"/>
      </w:rPr>
      <w:t xml:space="preserve">ET and </w:t>
    </w:r>
    <w:r w:rsidR="001158A0">
      <w:rPr>
        <w:szCs w:val="16"/>
      </w:rPr>
      <w:t>F</w:t>
    </w:r>
    <w:r w:rsidR="00B20605">
      <w:rPr>
        <w:szCs w:val="16"/>
      </w:rPr>
      <w:t>SOR</w:t>
    </w:r>
  </w:p>
  <w:p w14:paraId="5C321276" w14:textId="1E194837" w:rsidR="001A4A03" w:rsidRDefault="00DB2367" w:rsidP="00A0189B">
    <w:pPr>
      <w:pStyle w:val="Footer"/>
      <w:tabs>
        <w:tab w:val="clear" w:pos="4320"/>
        <w:tab w:val="clear" w:pos="8640"/>
        <w:tab w:val="center" w:pos="5040"/>
        <w:tab w:val="right" w:pos="9180"/>
      </w:tabs>
    </w:pPr>
    <w:r>
      <w:rPr>
        <w:szCs w:val="16"/>
      </w:rPr>
      <w:t>Department of Housing and Community Development</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27FA1" w14:textId="77777777" w:rsidR="00B848F7" w:rsidRDefault="00B848F7">
      <w:r>
        <w:separator/>
      </w:r>
    </w:p>
  </w:footnote>
  <w:footnote w:type="continuationSeparator" w:id="0">
    <w:p w14:paraId="05FB90EF" w14:textId="77777777" w:rsidR="00B848F7" w:rsidRDefault="00B848F7">
      <w:r>
        <w:continuationSeparator/>
      </w:r>
    </w:p>
  </w:footnote>
  <w:footnote w:type="continuationNotice" w:id="1">
    <w:p w14:paraId="0CF32AD4" w14:textId="77777777" w:rsidR="00B848F7" w:rsidRDefault="00B84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C774" w14:textId="77777777" w:rsidR="00ED27E1" w:rsidRPr="00D520C6" w:rsidRDefault="00ED27E1" w:rsidP="00ED27E1">
    <w:pPr>
      <w:pStyle w:val="Header"/>
      <w:tabs>
        <w:tab w:val="clear" w:pos="8640"/>
        <w:tab w:val="right" w:pos="9360"/>
      </w:tabs>
      <w:jc w:val="both"/>
      <w:rPr>
        <w:rFonts w:ascii="Arial" w:hAnsi="Arial" w:cs="Arial"/>
        <w:b w:val="0"/>
        <w:szCs w:val="16"/>
      </w:rPr>
    </w:pPr>
    <w:r w:rsidRPr="00D520C6">
      <w:rPr>
        <w:rFonts w:ascii="Arial" w:hAnsi="Arial" w:cs="Arial"/>
        <w:szCs w:val="16"/>
      </w:rPr>
      <w:t>STATE OF CALIFORNIA</w:t>
    </w:r>
  </w:p>
  <w:p w14:paraId="21BD9179" w14:textId="77777777" w:rsidR="00ED27E1" w:rsidRPr="00D520C6" w:rsidRDefault="00ED27E1" w:rsidP="00ED27E1">
    <w:pPr>
      <w:pStyle w:val="Header"/>
      <w:tabs>
        <w:tab w:val="clear" w:pos="8640"/>
        <w:tab w:val="right" w:pos="9360"/>
      </w:tabs>
      <w:jc w:val="both"/>
      <w:rPr>
        <w:rFonts w:ascii="Arial" w:hAnsi="Arial" w:cs="Arial"/>
        <w:b w:val="0"/>
        <w:szCs w:val="16"/>
      </w:rPr>
    </w:pPr>
    <w:r w:rsidRPr="00D520C6">
      <w:rPr>
        <w:rFonts w:ascii="Arial" w:hAnsi="Arial" w:cs="Arial"/>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BB56FE"/>
    <w:multiLevelType w:val="hybridMultilevel"/>
    <w:tmpl w:val="15B082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231BBF"/>
    <w:multiLevelType w:val="hybridMultilevel"/>
    <w:tmpl w:val="2A0A1CEE"/>
    <w:lvl w:ilvl="0" w:tplc="2B56C83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1D3637"/>
    <w:multiLevelType w:val="hybridMultilevel"/>
    <w:tmpl w:val="53B0E48E"/>
    <w:lvl w:ilvl="0" w:tplc="87AA005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E25039B"/>
    <w:multiLevelType w:val="hybridMultilevel"/>
    <w:tmpl w:val="AF060CA8"/>
    <w:lvl w:ilvl="0" w:tplc="E4EA8D78">
      <w:start w:val="1"/>
      <w:numFmt w:val="decimal"/>
      <w:lvlText w:val="%1."/>
      <w:lvlJc w:val="left"/>
      <w:pPr>
        <w:ind w:left="860" w:hanging="360"/>
      </w:pPr>
      <w:rPr>
        <w:rFonts w:ascii="Arial" w:eastAsia="Arial" w:hAnsi="Arial" w:cs="Arial" w:hint="default"/>
        <w:b w:val="0"/>
        <w:bCs w:val="0"/>
        <w:i w:val="0"/>
        <w:iCs w:val="0"/>
        <w:spacing w:val="-1"/>
        <w:w w:val="100"/>
        <w:sz w:val="24"/>
        <w:szCs w:val="24"/>
        <w:u w:val="none"/>
        <w:lang w:val="en-US" w:eastAsia="en-US" w:bidi="ar-SA"/>
      </w:rPr>
    </w:lvl>
    <w:lvl w:ilvl="1" w:tplc="CB8C3168">
      <w:start w:val="1"/>
      <w:numFmt w:val="lowerLetter"/>
      <w:lvlText w:val="%2."/>
      <w:lvlJc w:val="left"/>
      <w:pPr>
        <w:ind w:left="1440" w:hanging="360"/>
      </w:pPr>
      <w:rPr>
        <w:rFonts w:ascii="Arial" w:eastAsia="Arial" w:hAnsi="Arial" w:cs="Arial" w:hint="default"/>
        <w:b w:val="0"/>
        <w:bCs w:val="0"/>
        <w:i w:val="0"/>
        <w:iCs w:val="0"/>
        <w:spacing w:val="-1"/>
        <w:w w:val="100"/>
        <w:sz w:val="24"/>
        <w:szCs w:val="24"/>
        <w:u w:val="none"/>
      </w:rPr>
    </w:lvl>
    <w:lvl w:ilvl="2" w:tplc="E1FE4CE4">
      <w:start w:val="1"/>
      <w:numFmt w:val="decimal"/>
      <w:lvlText w:val="%3."/>
      <w:lvlJc w:val="left"/>
      <w:pPr>
        <w:ind w:left="1580" w:hanging="360"/>
      </w:pPr>
      <w:rPr>
        <w:rFonts w:ascii="Arial" w:eastAsia="Arial" w:hAnsi="Arial" w:cs="Arial" w:hint="default"/>
        <w:b w:val="0"/>
        <w:bCs w:val="0"/>
        <w:i w:val="0"/>
        <w:iCs w:val="0"/>
        <w:spacing w:val="-1"/>
        <w:w w:val="100"/>
        <w:sz w:val="24"/>
        <w:szCs w:val="24"/>
        <w:lang w:val="en-US" w:eastAsia="en-US" w:bidi="ar-SA"/>
      </w:rPr>
    </w:lvl>
    <w:lvl w:ilvl="3" w:tplc="44F4AAD6">
      <w:numFmt w:val="bullet"/>
      <w:lvlText w:val="•"/>
      <w:lvlJc w:val="left"/>
      <w:pPr>
        <w:ind w:left="2587" w:hanging="360"/>
      </w:pPr>
      <w:rPr>
        <w:rFonts w:hint="default"/>
        <w:lang w:val="en-US" w:eastAsia="en-US" w:bidi="ar-SA"/>
      </w:rPr>
    </w:lvl>
    <w:lvl w:ilvl="4" w:tplc="6FE28AE4">
      <w:numFmt w:val="bullet"/>
      <w:lvlText w:val="•"/>
      <w:lvlJc w:val="left"/>
      <w:pPr>
        <w:ind w:left="3595" w:hanging="360"/>
      </w:pPr>
      <w:rPr>
        <w:rFonts w:hint="default"/>
        <w:lang w:val="en-US" w:eastAsia="en-US" w:bidi="ar-SA"/>
      </w:rPr>
    </w:lvl>
    <w:lvl w:ilvl="5" w:tplc="D62C0096">
      <w:numFmt w:val="bullet"/>
      <w:lvlText w:val="•"/>
      <w:lvlJc w:val="left"/>
      <w:pPr>
        <w:ind w:left="4602" w:hanging="360"/>
      </w:pPr>
      <w:rPr>
        <w:rFonts w:hint="default"/>
        <w:lang w:val="en-US" w:eastAsia="en-US" w:bidi="ar-SA"/>
      </w:rPr>
    </w:lvl>
    <w:lvl w:ilvl="6" w:tplc="EB0CB834">
      <w:numFmt w:val="bullet"/>
      <w:lvlText w:val="•"/>
      <w:lvlJc w:val="left"/>
      <w:pPr>
        <w:ind w:left="5610" w:hanging="360"/>
      </w:pPr>
      <w:rPr>
        <w:rFonts w:hint="default"/>
        <w:lang w:val="en-US" w:eastAsia="en-US" w:bidi="ar-SA"/>
      </w:rPr>
    </w:lvl>
    <w:lvl w:ilvl="7" w:tplc="13A6107A">
      <w:numFmt w:val="bullet"/>
      <w:lvlText w:val="•"/>
      <w:lvlJc w:val="left"/>
      <w:pPr>
        <w:ind w:left="6617" w:hanging="360"/>
      </w:pPr>
      <w:rPr>
        <w:rFonts w:hint="default"/>
        <w:lang w:val="en-US" w:eastAsia="en-US" w:bidi="ar-SA"/>
      </w:rPr>
    </w:lvl>
    <w:lvl w:ilvl="8" w:tplc="5AC6BEA2">
      <w:numFmt w:val="bullet"/>
      <w:lvlText w:val="•"/>
      <w:lvlJc w:val="left"/>
      <w:pPr>
        <w:ind w:left="7625" w:hanging="360"/>
      </w:pPr>
      <w:rPr>
        <w:rFonts w:hint="default"/>
        <w:lang w:val="en-US" w:eastAsia="en-US" w:bidi="ar-SA"/>
      </w:r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433A6"/>
    <w:multiLevelType w:val="hybridMultilevel"/>
    <w:tmpl w:val="69CE912A"/>
    <w:lvl w:ilvl="0" w:tplc="6BFAF4F8">
      <w:start w:val="1"/>
      <w:numFmt w:val="lowerLetter"/>
      <w:lvlText w:val="%1."/>
      <w:lvlJc w:val="left"/>
      <w:pPr>
        <w:ind w:left="2880" w:hanging="360"/>
      </w:pPr>
      <w:rPr>
        <w:rFonts w:ascii="Arial" w:eastAsia="Arial" w:hAnsi="Arial" w:cs="Arial" w:hint="default"/>
        <w:b w:val="0"/>
        <w:bCs w:val="0"/>
        <w:i w:val="0"/>
        <w:iCs w:val="0"/>
        <w:spacing w:val="-1"/>
        <w:w w:val="100"/>
        <w:sz w:val="24"/>
        <w:szCs w:val="24"/>
        <w:u w:val="single"/>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82B97"/>
    <w:multiLevelType w:val="hybridMultilevel"/>
    <w:tmpl w:val="FE9EC074"/>
    <w:lvl w:ilvl="0" w:tplc="0409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1308391674">
    <w:abstractNumId w:val="12"/>
  </w:num>
  <w:num w:numId="2" w16cid:durableId="1612780394">
    <w:abstractNumId w:val="15"/>
  </w:num>
  <w:num w:numId="3" w16cid:durableId="1689604008">
    <w:abstractNumId w:val="16"/>
  </w:num>
  <w:num w:numId="4" w16cid:durableId="301006860">
    <w:abstractNumId w:val="11"/>
  </w:num>
  <w:num w:numId="5" w16cid:durableId="652176935">
    <w:abstractNumId w:val="14"/>
  </w:num>
  <w:num w:numId="6" w16cid:durableId="1743602988">
    <w:abstractNumId w:val="19"/>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 w:numId="37" w16cid:durableId="165289542">
    <w:abstractNumId w:val="18"/>
  </w:num>
  <w:num w:numId="38" w16cid:durableId="511452035">
    <w:abstractNumId w:val="20"/>
  </w:num>
  <w:num w:numId="39" w16cid:durableId="471336234">
    <w:abstractNumId w:val="13"/>
  </w:num>
  <w:num w:numId="40" w16cid:durableId="887884016">
    <w:abstractNumId w:val="10"/>
  </w:num>
  <w:num w:numId="41" w16cid:durableId="864249494">
    <w:abstractNumId w:val="17"/>
  </w:num>
  <w:num w:numId="42" w16cid:durableId="19208694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0HjxZVGqn5rrgoJ3mSu6Qb+A2LkKgUdubonfiMyaNkujWx901XucoT8FM4tvfNYhyGzlQzeUhWVWhp1RFc7JA==" w:salt="/y49vvmi2z2lBmUFbgqkI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32522"/>
    <w:rsid w:val="00066735"/>
    <w:rsid w:val="00072D5F"/>
    <w:rsid w:val="00077002"/>
    <w:rsid w:val="000827EB"/>
    <w:rsid w:val="0008424C"/>
    <w:rsid w:val="00094054"/>
    <w:rsid w:val="00094688"/>
    <w:rsid w:val="00094ABF"/>
    <w:rsid w:val="000B33E0"/>
    <w:rsid w:val="000C22CF"/>
    <w:rsid w:val="000C5682"/>
    <w:rsid w:val="000C7383"/>
    <w:rsid w:val="000E24B4"/>
    <w:rsid w:val="000E5FF6"/>
    <w:rsid w:val="000F2EEE"/>
    <w:rsid w:val="000F683A"/>
    <w:rsid w:val="000F6D3A"/>
    <w:rsid w:val="001158A0"/>
    <w:rsid w:val="00123163"/>
    <w:rsid w:val="00123F82"/>
    <w:rsid w:val="001362F4"/>
    <w:rsid w:val="0015511B"/>
    <w:rsid w:val="0017531B"/>
    <w:rsid w:val="00175449"/>
    <w:rsid w:val="001845B6"/>
    <w:rsid w:val="001A4A03"/>
    <w:rsid w:val="001A6A69"/>
    <w:rsid w:val="001A7E34"/>
    <w:rsid w:val="001B6F93"/>
    <w:rsid w:val="001C067D"/>
    <w:rsid w:val="001D5566"/>
    <w:rsid w:val="001D6710"/>
    <w:rsid w:val="001E12EE"/>
    <w:rsid w:val="001E2BF9"/>
    <w:rsid w:val="001E635B"/>
    <w:rsid w:val="002046B6"/>
    <w:rsid w:val="002272B4"/>
    <w:rsid w:val="002303B5"/>
    <w:rsid w:val="00234A84"/>
    <w:rsid w:val="00235B37"/>
    <w:rsid w:val="002367DC"/>
    <w:rsid w:val="00250F23"/>
    <w:rsid w:val="0025496E"/>
    <w:rsid w:val="002578FE"/>
    <w:rsid w:val="00291AD0"/>
    <w:rsid w:val="002A0905"/>
    <w:rsid w:val="002D3F86"/>
    <w:rsid w:val="002D5455"/>
    <w:rsid w:val="002D5E4A"/>
    <w:rsid w:val="002E31C9"/>
    <w:rsid w:val="002F2220"/>
    <w:rsid w:val="002F74F0"/>
    <w:rsid w:val="00304B8B"/>
    <w:rsid w:val="0030639B"/>
    <w:rsid w:val="00310959"/>
    <w:rsid w:val="003204F7"/>
    <w:rsid w:val="00331247"/>
    <w:rsid w:val="003324BE"/>
    <w:rsid w:val="00347D13"/>
    <w:rsid w:val="00350C70"/>
    <w:rsid w:val="00371792"/>
    <w:rsid w:val="00372630"/>
    <w:rsid w:val="0037506B"/>
    <w:rsid w:val="00391B17"/>
    <w:rsid w:val="003942B6"/>
    <w:rsid w:val="003C0185"/>
    <w:rsid w:val="003D46A3"/>
    <w:rsid w:val="003E1AB0"/>
    <w:rsid w:val="00410DA2"/>
    <w:rsid w:val="004138C5"/>
    <w:rsid w:val="00423793"/>
    <w:rsid w:val="00433E49"/>
    <w:rsid w:val="0044593B"/>
    <w:rsid w:val="00467CBF"/>
    <w:rsid w:val="00484984"/>
    <w:rsid w:val="004A53C6"/>
    <w:rsid w:val="004B2AB9"/>
    <w:rsid w:val="004B48D5"/>
    <w:rsid w:val="004C37EA"/>
    <w:rsid w:val="004C48A0"/>
    <w:rsid w:val="004D311D"/>
    <w:rsid w:val="004D5ECA"/>
    <w:rsid w:val="004E642B"/>
    <w:rsid w:val="004F62AE"/>
    <w:rsid w:val="00502AB4"/>
    <w:rsid w:val="00536E36"/>
    <w:rsid w:val="00545A37"/>
    <w:rsid w:val="00551989"/>
    <w:rsid w:val="00563190"/>
    <w:rsid w:val="00570486"/>
    <w:rsid w:val="00583511"/>
    <w:rsid w:val="00586CA6"/>
    <w:rsid w:val="00592D1D"/>
    <w:rsid w:val="005933E2"/>
    <w:rsid w:val="005A05BC"/>
    <w:rsid w:val="005B5184"/>
    <w:rsid w:val="005C3221"/>
    <w:rsid w:val="005D2DCC"/>
    <w:rsid w:val="005E162F"/>
    <w:rsid w:val="005E1E47"/>
    <w:rsid w:val="005E7B90"/>
    <w:rsid w:val="005F1F14"/>
    <w:rsid w:val="005F696F"/>
    <w:rsid w:val="00607FED"/>
    <w:rsid w:val="0061175B"/>
    <w:rsid w:val="00613528"/>
    <w:rsid w:val="006169B9"/>
    <w:rsid w:val="0062456B"/>
    <w:rsid w:val="00626017"/>
    <w:rsid w:val="00631F79"/>
    <w:rsid w:val="006609B8"/>
    <w:rsid w:val="006721FC"/>
    <w:rsid w:val="00675E1D"/>
    <w:rsid w:val="0068142E"/>
    <w:rsid w:val="00685D1F"/>
    <w:rsid w:val="006A0F7E"/>
    <w:rsid w:val="006A0F8B"/>
    <w:rsid w:val="006A3121"/>
    <w:rsid w:val="006B0C83"/>
    <w:rsid w:val="006B6EA2"/>
    <w:rsid w:val="006B747C"/>
    <w:rsid w:val="006C0483"/>
    <w:rsid w:val="006C5C01"/>
    <w:rsid w:val="006E0088"/>
    <w:rsid w:val="006F115E"/>
    <w:rsid w:val="006F30A0"/>
    <w:rsid w:val="006F37A3"/>
    <w:rsid w:val="006F657D"/>
    <w:rsid w:val="007059DC"/>
    <w:rsid w:val="00705EAD"/>
    <w:rsid w:val="00711AEC"/>
    <w:rsid w:val="00715AB0"/>
    <w:rsid w:val="007416F3"/>
    <w:rsid w:val="00743C0D"/>
    <w:rsid w:val="00745E48"/>
    <w:rsid w:val="00754D0A"/>
    <w:rsid w:val="007556D6"/>
    <w:rsid w:val="007637C5"/>
    <w:rsid w:val="00767766"/>
    <w:rsid w:val="00774C80"/>
    <w:rsid w:val="00776FA8"/>
    <w:rsid w:val="00786248"/>
    <w:rsid w:val="0079032B"/>
    <w:rsid w:val="007915D5"/>
    <w:rsid w:val="007A674B"/>
    <w:rsid w:val="007C04EF"/>
    <w:rsid w:val="007C4832"/>
    <w:rsid w:val="007D6CA5"/>
    <w:rsid w:val="007E02A6"/>
    <w:rsid w:val="007E6A6C"/>
    <w:rsid w:val="007F6AC8"/>
    <w:rsid w:val="00801007"/>
    <w:rsid w:val="0081299A"/>
    <w:rsid w:val="00813388"/>
    <w:rsid w:val="0083245F"/>
    <w:rsid w:val="008404AE"/>
    <w:rsid w:val="008435F4"/>
    <w:rsid w:val="008543C5"/>
    <w:rsid w:val="00862625"/>
    <w:rsid w:val="008701C4"/>
    <w:rsid w:val="00874876"/>
    <w:rsid w:val="0088275A"/>
    <w:rsid w:val="00885B0F"/>
    <w:rsid w:val="0088754A"/>
    <w:rsid w:val="0089450F"/>
    <w:rsid w:val="008A2AC5"/>
    <w:rsid w:val="008A3DD5"/>
    <w:rsid w:val="008A63C7"/>
    <w:rsid w:val="008B3478"/>
    <w:rsid w:val="008C6474"/>
    <w:rsid w:val="008E1488"/>
    <w:rsid w:val="008E36A8"/>
    <w:rsid w:val="008E709A"/>
    <w:rsid w:val="008F2B6B"/>
    <w:rsid w:val="008F2BEA"/>
    <w:rsid w:val="00902D48"/>
    <w:rsid w:val="0091233E"/>
    <w:rsid w:val="00917612"/>
    <w:rsid w:val="00923E68"/>
    <w:rsid w:val="009251F8"/>
    <w:rsid w:val="00926738"/>
    <w:rsid w:val="0092735E"/>
    <w:rsid w:val="0093346B"/>
    <w:rsid w:val="00933897"/>
    <w:rsid w:val="00944B03"/>
    <w:rsid w:val="009462E9"/>
    <w:rsid w:val="00947BC3"/>
    <w:rsid w:val="00952634"/>
    <w:rsid w:val="0096263F"/>
    <w:rsid w:val="0097270C"/>
    <w:rsid w:val="0097311B"/>
    <w:rsid w:val="009927A2"/>
    <w:rsid w:val="009928D8"/>
    <w:rsid w:val="00995899"/>
    <w:rsid w:val="009A5B9A"/>
    <w:rsid w:val="009A693A"/>
    <w:rsid w:val="009D096D"/>
    <w:rsid w:val="009D10AD"/>
    <w:rsid w:val="009E0E79"/>
    <w:rsid w:val="009E6B12"/>
    <w:rsid w:val="009F2377"/>
    <w:rsid w:val="009F6F50"/>
    <w:rsid w:val="00A0189B"/>
    <w:rsid w:val="00A07EE6"/>
    <w:rsid w:val="00A134E5"/>
    <w:rsid w:val="00A138AA"/>
    <w:rsid w:val="00A22C67"/>
    <w:rsid w:val="00A273AB"/>
    <w:rsid w:val="00A3344C"/>
    <w:rsid w:val="00A60CA1"/>
    <w:rsid w:val="00A63EF9"/>
    <w:rsid w:val="00A80C20"/>
    <w:rsid w:val="00A813A1"/>
    <w:rsid w:val="00A86603"/>
    <w:rsid w:val="00AA1B14"/>
    <w:rsid w:val="00AB3AFE"/>
    <w:rsid w:val="00AC1F10"/>
    <w:rsid w:val="00AD2E7E"/>
    <w:rsid w:val="00AF4D10"/>
    <w:rsid w:val="00AF4E96"/>
    <w:rsid w:val="00B0196B"/>
    <w:rsid w:val="00B02425"/>
    <w:rsid w:val="00B12576"/>
    <w:rsid w:val="00B15A1D"/>
    <w:rsid w:val="00B20605"/>
    <w:rsid w:val="00B33AB3"/>
    <w:rsid w:val="00B3463B"/>
    <w:rsid w:val="00B37632"/>
    <w:rsid w:val="00B424F1"/>
    <w:rsid w:val="00B435D5"/>
    <w:rsid w:val="00B46464"/>
    <w:rsid w:val="00B51F0E"/>
    <w:rsid w:val="00B53C67"/>
    <w:rsid w:val="00B76EB1"/>
    <w:rsid w:val="00B84463"/>
    <w:rsid w:val="00B848F7"/>
    <w:rsid w:val="00B873D0"/>
    <w:rsid w:val="00BA1780"/>
    <w:rsid w:val="00BB240F"/>
    <w:rsid w:val="00BB4F7E"/>
    <w:rsid w:val="00BC5F10"/>
    <w:rsid w:val="00BD2110"/>
    <w:rsid w:val="00BD2BFC"/>
    <w:rsid w:val="00BD3875"/>
    <w:rsid w:val="00BE0751"/>
    <w:rsid w:val="00BE4A69"/>
    <w:rsid w:val="00BF3E81"/>
    <w:rsid w:val="00BF4408"/>
    <w:rsid w:val="00BF4468"/>
    <w:rsid w:val="00C037AF"/>
    <w:rsid w:val="00C0593F"/>
    <w:rsid w:val="00C07231"/>
    <w:rsid w:val="00C12EA7"/>
    <w:rsid w:val="00C2443F"/>
    <w:rsid w:val="00C317DE"/>
    <w:rsid w:val="00C36475"/>
    <w:rsid w:val="00C44C36"/>
    <w:rsid w:val="00C60CC1"/>
    <w:rsid w:val="00C63563"/>
    <w:rsid w:val="00C63CE9"/>
    <w:rsid w:val="00C6643B"/>
    <w:rsid w:val="00C67B72"/>
    <w:rsid w:val="00C76C2D"/>
    <w:rsid w:val="00C77F3B"/>
    <w:rsid w:val="00C81338"/>
    <w:rsid w:val="00C83F89"/>
    <w:rsid w:val="00C8412E"/>
    <w:rsid w:val="00CA39C0"/>
    <w:rsid w:val="00CB69CE"/>
    <w:rsid w:val="00CC2B90"/>
    <w:rsid w:val="00CC5011"/>
    <w:rsid w:val="00CF2161"/>
    <w:rsid w:val="00CF3372"/>
    <w:rsid w:val="00D04B58"/>
    <w:rsid w:val="00D0634D"/>
    <w:rsid w:val="00D104F0"/>
    <w:rsid w:val="00D13D82"/>
    <w:rsid w:val="00D251D1"/>
    <w:rsid w:val="00D273ED"/>
    <w:rsid w:val="00D30882"/>
    <w:rsid w:val="00D411F0"/>
    <w:rsid w:val="00D4201F"/>
    <w:rsid w:val="00D44F43"/>
    <w:rsid w:val="00D520C6"/>
    <w:rsid w:val="00D63E97"/>
    <w:rsid w:val="00D67CC8"/>
    <w:rsid w:val="00D8444D"/>
    <w:rsid w:val="00D91AE2"/>
    <w:rsid w:val="00D948D6"/>
    <w:rsid w:val="00D976D9"/>
    <w:rsid w:val="00DA1686"/>
    <w:rsid w:val="00DB2367"/>
    <w:rsid w:val="00DB2DC2"/>
    <w:rsid w:val="00DB2E73"/>
    <w:rsid w:val="00DC1923"/>
    <w:rsid w:val="00DC3D1B"/>
    <w:rsid w:val="00DD05D6"/>
    <w:rsid w:val="00DD1947"/>
    <w:rsid w:val="00E016BA"/>
    <w:rsid w:val="00E22041"/>
    <w:rsid w:val="00E24FAA"/>
    <w:rsid w:val="00E3628E"/>
    <w:rsid w:val="00E3790F"/>
    <w:rsid w:val="00E45D23"/>
    <w:rsid w:val="00E5214A"/>
    <w:rsid w:val="00E53D35"/>
    <w:rsid w:val="00E73D25"/>
    <w:rsid w:val="00E743D5"/>
    <w:rsid w:val="00EA0A1F"/>
    <w:rsid w:val="00EA1267"/>
    <w:rsid w:val="00EA434F"/>
    <w:rsid w:val="00EA55B4"/>
    <w:rsid w:val="00EC0A76"/>
    <w:rsid w:val="00EC1406"/>
    <w:rsid w:val="00EC2338"/>
    <w:rsid w:val="00EC241C"/>
    <w:rsid w:val="00EC63D9"/>
    <w:rsid w:val="00ED27E1"/>
    <w:rsid w:val="00ED3496"/>
    <w:rsid w:val="00ED5426"/>
    <w:rsid w:val="00EE73EA"/>
    <w:rsid w:val="00EF26E2"/>
    <w:rsid w:val="00F152F2"/>
    <w:rsid w:val="00F17139"/>
    <w:rsid w:val="00F22CD9"/>
    <w:rsid w:val="00F22ED6"/>
    <w:rsid w:val="00F25C09"/>
    <w:rsid w:val="00F32B67"/>
    <w:rsid w:val="00F33CA0"/>
    <w:rsid w:val="00F34FDC"/>
    <w:rsid w:val="00F35171"/>
    <w:rsid w:val="00F449E2"/>
    <w:rsid w:val="00F53B30"/>
    <w:rsid w:val="00F768B4"/>
    <w:rsid w:val="00F878D9"/>
    <w:rsid w:val="00F87B9E"/>
    <w:rsid w:val="00F901D3"/>
    <w:rsid w:val="00F94D4E"/>
    <w:rsid w:val="00F97C83"/>
    <w:rsid w:val="00FB34BE"/>
    <w:rsid w:val="00FC34D9"/>
    <w:rsid w:val="00FC3CC5"/>
    <w:rsid w:val="00FC46A5"/>
    <w:rsid w:val="00FD45EA"/>
    <w:rsid w:val="00FE65E0"/>
    <w:rsid w:val="00FF11EA"/>
    <w:rsid w:val="00FF2A7D"/>
    <w:rsid w:val="00FF71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01102CD5-2793-4120-B0FC-7DAED935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B873D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styleId="Hyperlink">
    <w:name w:val="Hyperlink"/>
    <w:basedOn w:val="DefaultParagraphFont"/>
    <w:unhideWhenUsed/>
    <w:rsid w:val="00545A37"/>
    <w:rPr>
      <w:color w:val="0000FF" w:themeColor="hyperlink"/>
      <w:u w:val="single"/>
    </w:rPr>
  </w:style>
  <w:style w:type="character" w:styleId="UnresolvedMention">
    <w:name w:val="Unresolved Mention"/>
    <w:basedOn w:val="DefaultParagraphFont"/>
    <w:uiPriority w:val="99"/>
    <w:semiHidden/>
    <w:unhideWhenUsed/>
    <w:rsid w:val="00545A37"/>
    <w:rPr>
      <w:color w:val="605E5C"/>
      <w:shd w:val="clear" w:color="auto" w:fill="E1DFDD"/>
    </w:rPr>
  </w:style>
  <w:style w:type="character" w:customStyle="1" w:styleId="Heading4Char">
    <w:name w:val="Heading 4 Char"/>
    <w:basedOn w:val="DefaultParagraphFont"/>
    <w:link w:val="Heading4"/>
    <w:semiHidden/>
    <w:rsid w:val="00B873D0"/>
    <w:rPr>
      <w:rFonts w:asciiTheme="majorHAnsi" w:eastAsiaTheme="majorEastAsia" w:hAnsiTheme="majorHAnsi" w:cstheme="majorBidi"/>
      <w:i/>
      <w:iCs/>
      <w:snapToGrid w:val="0"/>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979966520">
      <w:bodyDiv w:val="1"/>
      <w:marLeft w:val="0"/>
      <w:marRight w:val="0"/>
      <w:marTop w:val="0"/>
      <w:marBottom w:val="0"/>
      <w:divBdr>
        <w:top w:val="none" w:sz="0" w:space="0" w:color="auto"/>
        <w:left w:val="none" w:sz="0" w:space="0" w:color="auto"/>
        <w:bottom w:val="none" w:sz="0" w:space="0" w:color="auto"/>
        <w:right w:val="none" w:sz="0" w:space="0" w:color="auto"/>
      </w:divBdr>
      <w:divsChild>
        <w:div w:id="126290347">
          <w:marLeft w:val="0"/>
          <w:marRight w:val="0"/>
          <w:marTop w:val="0"/>
          <w:marBottom w:val="0"/>
          <w:divBdr>
            <w:top w:val="none" w:sz="0" w:space="0" w:color="auto"/>
            <w:left w:val="none" w:sz="0" w:space="0" w:color="auto"/>
            <w:bottom w:val="none" w:sz="0" w:space="0" w:color="auto"/>
            <w:right w:val="none" w:sz="0" w:space="0" w:color="auto"/>
          </w:divBdr>
        </w:div>
        <w:div w:id="732240571">
          <w:marLeft w:val="0"/>
          <w:marRight w:val="0"/>
          <w:marTop w:val="0"/>
          <w:marBottom w:val="0"/>
          <w:divBdr>
            <w:top w:val="none" w:sz="0" w:space="0" w:color="auto"/>
            <w:left w:val="none" w:sz="0" w:space="0" w:color="auto"/>
            <w:bottom w:val="none" w:sz="0" w:space="0" w:color="auto"/>
            <w:right w:val="none" w:sz="0" w:space="0" w:color="auto"/>
          </w:divBdr>
        </w:div>
        <w:div w:id="1457988870">
          <w:marLeft w:val="0"/>
          <w:marRight w:val="0"/>
          <w:marTop w:val="0"/>
          <w:marBottom w:val="0"/>
          <w:divBdr>
            <w:top w:val="none" w:sz="0" w:space="0" w:color="auto"/>
            <w:left w:val="none" w:sz="0" w:space="0" w:color="auto"/>
            <w:bottom w:val="none" w:sz="0" w:space="0" w:color="auto"/>
            <w:right w:val="none" w:sz="0" w:space="0" w:color="auto"/>
          </w:divBdr>
        </w:div>
        <w:div w:id="2052656076">
          <w:marLeft w:val="0"/>
          <w:marRight w:val="0"/>
          <w:marTop w:val="0"/>
          <w:marBottom w:val="0"/>
          <w:divBdr>
            <w:top w:val="none" w:sz="0" w:space="0" w:color="auto"/>
            <w:left w:val="none" w:sz="0" w:space="0" w:color="auto"/>
            <w:bottom w:val="none" w:sz="0" w:space="0" w:color="auto"/>
            <w:right w:val="none" w:sz="0" w:space="0" w:color="auto"/>
          </w:divBdr>
        </w:div>
        <w:div w:id="2074155929">
          <w:marLeft w:val="0"/>
          <w:marRight w:val="0"/>
          <w:marTop w:val="0"/>
          <w:marBottom w:val="0"/>
          <w:divBdr>
            <w:top w:val="none" w:sz="0" w:space="0" w:color="auto"/>
            <w:left w:val="none" w:sz="0" w:space="0" w:color="auto"/>
            <w:bottom w:val="none" w:sz="0" w:space="0" w:color="auto"/>
            <w:right w:val="none" w:sz="0" w:space="0" w:color="auto"/>
          </w:divBdr>
        </w:div>
      </w:divsChild>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052383698">
      <w:bodyDiv w:val="1"/>
      <w:marLeft w:val="0"/>
      <w:marRight w:val="0"/>
      <w:marTop w:val="0"/>
      <w:marBottom w:val="0"/>
      <w:divBdr>
        <w:top w:val="none" w:sz="0" w:space="0" w:color="auto"/>
        <w:left w:val="none" w:sz="0" w:space="0" w:color="auto"/>
        <w:bottom w:val="none" w:sz="0" w:space="0" w:color="auto"/>
        <w:right w:val="none" w:sz="0" w:space="0" w:color="auto"/>
      </w:divBdr>
      <w:divsChild>
        <w:div w:id="851988113">
          <w:marLeft w:val="0"/>
          <w:marRight w:val="0"/>
          <w:marTop w:val="0"/>
          <w:marBottom w:val="0"/>
          <w:divBdr>
            <w:top w:val="none" w:sz="0" w:space="0" w:color="auto"/>
            <w:left w:val="none" w:sz="0" w:space="0" w:color="auto"/>
            <w:bottom w:val="none" w:sz="0" w:space="0" w:color="auto"/>
            <w:right w:val="none" w:sz="0" w:space="0" w:color="auto"/>
          </w:divBdr>
        </w:div>
        <w:div w:id="952059688">
          <w:marLeft w:val="0"/>
          <w:marRight w:val="0"/>
          <w:marTop w:val="0"/>
          <w:marBottom w:val="0"/>
          <w:divBdr>
            <w:top w:val="none" w:sz="0" w:space="0" w:color="auto"/>
            <w:left w:val="none" w:sz="0" w:space="0" w:color="auto"/>
            <w:bottom w:val="none" w:sz="0" w:space="0" w:color="auto"/>
            <w:right w:val="none" w:sz="0" w:space="0" w:color="auto"/>
          </w:divBdr>
        </w:div>
        <w:div w:id="1105729516">
          <w:marLeft w:val="0"/>
          <w:marRight w:val="0"/>
          <w:marTop w:val="0"/>
          <w:marBottom w:val="0"/>
          <w:divBdr>
            <w:top w:val="none" w:sz="0" w:space="0" w:color="auto"/>
            <w:left w:val="none" w:sz="0" w:space="0" w:color="auto"/>
            <w:bottom w:val="none" w:sz="0" w:space="0" w:color="auto"/>
            <w:right w:val="none" w:sz="0" w:space="0" w:color="auto"/>
          </w:divBdr>
        </w:div>
        <w:div w:id="1131441965">
          <w:marLeft w:val="0"/>
          <w:marRight w:val="0"/>
          <w:marTop w:val="0"/>
          <w:marBottom w:val="0"/>
          <w:divBdr>
            <w:top w:val="none" w:sz="0" w:space="0" w:color="auto"/>
            <w:left w:val="none" w:sz="0" w:space="0" w:color="auto"/>
            <w:bottom w:val="none" w:sz="0" w:space="0" w:color="auto"/>
            <w:right w:val="none" w:sz="0" w:space="0" w:color="auto"/>
          </w:divBdr>
        </w:div>
        <w:div w:id="1980575896">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85CC4A172AD418A9702A64D09EA6E" ma:contentTypeVersion="17" ma:contentTypeDescription="Create a new document." ma:contentTypeScope="" ma:versionID="25df11735751c7254e61bb21eebdfa06">
  <xsd:schema xmlns:xsd="http://www.w3.org/2001/XMLSchema" xmlns:xs="http://www.w3.org/2001/XMLSchema" xmlns:p="http://schemas.microsoft.com/office/2006/metadata/properties" xmlns:ns1="http://schemas.microsoft.com/sharepoint/v3" xmlns:ns2="424fb3fd-5b4d-4f2f-9fac-0dae199fbdca" xmlns:ns3="8b502e25-087b-43a3-9aed-42d9052e1a71" targetNamespace="http://schemas.microsoft.com/office/2006/metadata/properties" ma:root="true" ma:fieldsID="14ba785c25ec4eeeb53b0c4e95a648df" ns1:_="" ns2:_="" ns3:_="">
    <xsd:import namespace="http://schemas.microsoft.com/sharepoint/v3"/>
    <xsd:import namespace="424fb3fd-5b4d-4f2f-9fac-0dae199fbdc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fb3fd-5b4d-4f2f-9fac-0dae199f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195913-544e-4784-a4a6-22374ab771d0}" ma:internalName="TaxCatchAll"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502e25-087b-43a3-9aed-42d9052e1a71" xsi:nil="true"/>
    <_ip_UnifiedCompliancePolicyProperties xmlns="http://schemas.microsoft.com/sharepoint/v3" xsi:nil="true"/>
    <lcf76f155ced4ddcb4097134ff3c332f xmlns="424fb3fd-5b4d-4f2f-9fac-0dae199fbdc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D91E0-3A2E-4F36-8A1D-88BF74207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b3fd-5b4d-4f2f-9fac-0dae199fbdc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3.xml><?xml version="1.0" encoding="utf-8"?>
<ds:datastoreItem xmlns:ds="http://schemas.openxmlformats.org/officeDocument/2006/customXml" ds:itemID="{FC9A6027-77B7-4E28-A788-F117B4D50546}">
  <ds:schemaRefs>
    <ds:schemaRef ds:uri="http://schemas.microsoft.com/office/2006/metadata/properties"/>
    <ds:schemaRef ds:uri="8b502e25-087b-43a3-9aed-42d9052e1a71"/>
    <ds:schemaRef ds:uri="http://www.w3.org/XML/1998/namespace"/>
    <ds:schemaRef ds:uri="http://schemas.microsoft.com/office/2006/documentManagement/types"/>
    <ds:schemaRef ds:uri="424fb3fd-5b4d-4f2f-9fac-0dae199fbdca"/>
    <ds:schemaRef ds:uri="http://schemas.microsoft.com/office/infopath/2007/PartnerControls"/>
    <ds:schemaRef ds:uri="http://purl.org/dc/elements/1.1/"/>
    <ds:schemaRef ds:uri="http://purl.org/dc/dcmitype/"/>
    <ds:schemaRef ds:uri="http://schemas.openxmlformats.org/package/2006/metadata/core-properties"/>
    <ds:schemaRef ds:uri="http://schemas.microsoft.com/sharepoint/v3"/>
    <ds:schemaRef ds:uri="http://purl.org/dc/terms/"/>
  </ds:schemaRefs>
</ds:datastoreItem>
</file>

<file path=customXml/itemProps4.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HCD-04-24-FET Addendum-PT11</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HCD-04-24-FET Addendum-PT11</dc:title>
  <dc:subject/>
  <dc:creator>CBSC</dc:creator>
  <cp:keywords/>
  <cp:lastModifiedBy>Eyerman, Brooke@HCD</cp:lastModifiedBy>
  <cp:revision>3</cp:revision>
  <cp:lastPrinted>2020-05-13T17:58:00Z</cp:lastPrinted>
  <dcterms:created xsi:type="dcterms:W3CDTF">2025-04-07T15:21:00Z</dcterms:created>
  <dcterms:modified xsi:type="dcterms:W3CDTF">2025-04-07T15:22:00Z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0x010100A1D85CC4A172AD418A9702A64D09EA6E</vt:lpwstr>
  </property>
  <property fmtid="{D5CDD505-2E9C-101B-9397-08002B2CF9AE}" pid="3" name="Order">
    <vt:r8>54788900</vt:r8>
  </property>
  <property fmtid="{D5CDD505-2E9C-101B-9397-08002B2CF9AE}" pid="4" name="_ExtendedDescription">
    <vt:lpwstr/>
  </property>
  <property fmtid="{D5CDD505-2E9C-101B-9397-08002B2CF9AE}" pid="5" name="MediaServiceImageTags">
    <vt:lpwstr/>
  </property>
</Properties>
</file>